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962" w:rsidRDefault="003A4EE5" w:rsidP="003A4EE5">
      <w:pPr>
        <w:jc w:val="center"/>
      </w:pPr>
      <w:r>
        <w:t>UNITED STATES DISTRICT COURT</w:t>
      </w:r>
    </w:p>
    <w:p w:rsidR="003A4EE5" w:rsidRDefault="003A4EE5" w:rsidP="003A4EE5">
      <w:pPr>
        <w:jc w:val="center"/>
      </w:pPr>
      <w:r>
        <w:t>FOR THE DISTRICT OF COLUMBIA</w:t>
      </w:r>
    </w:p>
    <w:p w:rsidR="003A4EE5" w:rsidRDefault="003A4EE5" w:rsidP="003A4EE5">
      <w:pPr>
        <w:jc w:val="center"/>
      </w:pPr>
    </w:p>
    <w:p w:rsidR="003A4EE5" w:rsidRDefault="003A4EE5" w:rsidP="003A4EE5">
      <w:pPr>
        <w:jc w:val="center"/>
      </w:pPr>
    </w:p>
    <w:p w:rsidR="003A4EE5" w:rsidRDefault="003A4EE5" w:rsidP="003A4EE5">
      <w:r>
        <w:t>RICHARD EDELMAN</w:t>
      </w:r>
      <w:r>
        <w:tab/>
      </w:r>
      <w:r>
        <w:tab/>
      </w:r>
      <w:r>
        <w:tab/>
      </w:r>
      <w:r>
        <w:tab/>
        <w:t>)</w:t>
      </w:r>
    </w:p>
    <w:p w:rsidR="003A4EE5" w:rsidRDefault="003A4EE5" w:rsidP="003A4EE5">
      <w:r>
        <w:t>608 North Rios Avenue</w:t>
      </w:r>
      <w:r>
        <w:tab/>
      </w:r>
      <w:r>
        <w:tab/>
      </w:r>
      <w:r>
        <w:tab/>
      </w:r>
      <w:r>
        <w:tab/>
        <w:t>)</w:t>
      </w:r>
    </w:p>
    <w:p w:rsidR="003A4EE5" w:rsidRDefault="003A4EE5" w:rsidP="003A4EE5">
      <w:r>
        <w:t>Solana</w:t>
      </w:r>
      <w:r w:rsidR="000C14BB">
        <w:t xml:space="preserve"> Beach,</w:t>
      </w:r>
      <w:r>
        <w:t xml:space="preserve"> California 92075</w:t>
      </w:r>
      <w:r>
        <w:tab/>
      </w:r>
      <w:r>
        <w:tab/>
      </w:r>
      <w:r>
        <w:tab/>
        <w:t>)</w:t>
      </w:r>
    </w:p>
    <w:p w:rsidR="003A4EE5" w:rsidRDefault="003A4EE5" w:rsidP="003A4EE5">
      <w:r>
        <w:tab/>
      </w:r>
      <w:r>
        <w:tab/>
      </w:r>
      <w:r>
        <w:tab/>
      </w:r>
      <w:r>
        <w:tab/>
      </w:r>
      <w:r>
        <w:tab/>
      </w:r>
      <w:r>
        <w:tab/>
      </w:r>
      <w:r>
        <w:tab/>
        <w:t>)</w:t>
      </w:r>
    </w:p>
    <w:p w:rsidR="003A4EE5" w:rsidRDefault="003A4EE5" w:rsidP="003A4EE5">
      <w:proofErr w:type="gramStart"/>
      <w:r>
        <w:t>vs</w:t>
      </w:r>
      <w:proofErr w:type="gramEnd"/>
      <w:r>
        <w:t>.</w:t>
      </w:r>
      <w:r>
        <w:tab/>
      </w:r>
      <w:r>
        <w:tab/>
      </w:r>
      <w:r>
        <w:tab/>
      </w:r>
      <w:r>
        <w:tab/>
      </w:r>
      <w:r>
        <w:tab/>
      </w:r>
      <w:r>
        <w:tab/>
      </w:r>
      <w:r>
        <w:tab/>
        <w:t>)</w:t>
      </w:r>
      <w:r>
        <w:tab/>
        <w:t>Case No. ________________</w:t>
      </w:r>
    </w:p>
    <w:p w:rsidR="003A4EE5" w:rsidRDefault="003A4EE5" w:rsidP="003A4EE5">
      <w:r>
        <w:tab/>
      </w:r>
      <w:r>
        <w:tab/>
      </w:r>
      <w:r>
        <w:tab/>
      </w:r>
      <w:r>
        <w:tab/>
      </w:r>
      <w:r>
        <w:tab/>
      </w:r>
      <w:r>
        <w:tab/>
      </w:r>
      <w:r>
        <w:tab/>
        <w:t>)</w:t>
      </w:r>
    </w:p>
    <w:p w:rsidR="003A4EE5" w:rsidRDefault="003A4EE5" w:rsidP="003A4EE5">
      <w:r>
        <w:t>SECURITIES EXCHANGE COMMISSION</w:t>
      </w:r>
      <w:r>
        <w:tab/>
        <w:t>)</w:t>
      </w:r>
    </w:p>
    <w:p w:rsidR="003A4EE5" w:rsidRDefault="003A4EE5" w:rsidP="003A4EE5">
      <w:r>
        <w:t>100 F Street, NE</w:t>
      </w:r>
      <w:r>
        <w:tab/>
      </w:r>
      <w:r>
        <w:tab/>
      </w:r>
      <w:r>
        <w:tab/>
      </w:r>
      <w:r>
        <w:tab/>
      </w:r>
      <w:r>
        <w:tab/>
        <w:t>)</w:t>
      </w:r>
    </w:p>
    <w:p w:rsidR="003A4EE5" w:rsidRDefault="003A4EE5" w:rsidP="003A4EE5">
      <w:r>
        <w:t>Washington, District of Columbia 20549</w:t>
      </w:r>
      <w:r>
        <w:tab/>
      </w:r>
      <w:r>
        <w:tab/>
        <w:t>)</w:t>
      </w:r>
    </w:p>
    <w:p w:rsidR="003A4EE5" w:rsidRDefault="003A4EE5" w:rsidP="003A4EE5"/>
    <w:p w:rsidR="003A4EE5" w:rsidRDefault="003A4EE5" w:rsidP="003A4EE5"/>
    <w:p w:rsidR="003A4EE5" w:rsidRDefault="003A4EE5" w:rsidP="003A4EE5">
      <w:pPr>
        <w:jc w:val="center"/>
        <w:rPr>
          <w:b/>
          <w:u w:val="single"/>
        </w:rPr>
      </w:pPr>
      <w:r w:rsidRPr="003A4EE5">
        <w:rPr>
          <w:b/>
          <w:u w:val="single"/>
        </w:rPr>
        <w:t>COMPLAINT FOR DECLARATORY AND INJUNCTIVE RELIEF</w:t>
      </w:r>
    </w:p>
    <w:p w:rsidR="00DB547B" w:rsidRPr="003A4EE5" w:rsidRDefault="00DB547B" w:rsidP="003A4EE5">
      <w:pPr>
        <w:jc w:val="center"/>
        <w:rPr>
          <w:b/>
          <w:u w:val="single"/>
        </w:rPr>
      </w:pPr>
    </w:p>
    <w:p w:rsidR="003A4EE5" w:rsidRDefault="003A4EE5" w:rsidP="003A4EE5">
      <w:pPr>
        <w:jc w:val="center"/>
        <w:rPr>
          <w:b/>
        </w:rPr>
      </w:pPr>
    </w:p>
    <w:p w:rsidR="003A4EE5" w:rsidRDefault="003A4EE5" w:rsidP="0023736D">
      <w:pPr>
        <w:pStyle w:val="ListParagraph"/>
        <w:numPr>
          <w:ilvl w:val="0"/>
          <w:numId w:val="1"/>
        </w:numPr>
        <w:spacing w:line="480" w:lineRule="auto"/>
        <w:ind w:left="0" w:firstLine="0"/>
      </w:pPr>
      <w:r>
        <w:t xml:space="preserve">This is an action under the Freedom of Information Act ("FOIA"), 5 U.S.C. § </w:t>
      </w:r>
      <w:proofErr w:type="gramStart"/>
      <w:r>
        <w:t>552 ,</w:t>
      </w:r>
      <w:proofErr w:type="gramEnd"/>
      <w:r>
        <w:t xml:space="preserve"> </w:t>
      </w:r>
      <w:r w:rsidRPr="0023736D">
        <w:rPr>
          <w:i/>
        </w:rPr>
        <w:t xml:space="preserve">et </w:t>
      </w:r>
      <w:proofErr w:type="spellStart"/>
      <w:r w:rsidRPr="0023736D">
        <w:rPr>
          <w:i/>
        </w:rPr>
        <w:t>seq</w:t>
      </w:r>
      <w:proofErr w:type="spellEnd"/>
      <w:r w:rsidRPr="0023736D">
        <w:rPr>
          <w:i/>
        </w:rPr>
        <w:t>.,</w:t>
      </w:r>
      <w:r>
        <w:t xml:space="preserve">to obtain access to records in the possession of the </w:t>
      </w:r>
      <w:r w:rsidR="0023736D">
        <w:t xml:space="preserve">Securities Exchange Commission (“SEC”).   The records requested included information collected by the SEC from </w:t>
      </w:r>
      <w:r>
        <w:t xml:space="preserve">individuals </w:t>
      </w:r>
      <w:r w:rsidR="0023736D">
        <w:t xml:space="preserve">and entities that are subject to SEC regulation, complaints that the SEC has received from the public regarding regulated entities, and information regarding actions that the SEC has taken or has not taken in response to public complaints.  </w:t>
      </w:r>
      <w:r w:rsidR="003A678D">
        <w:t>T</w:t>
      </w:r>
      <w:r w:rsidR="0023736D">
        <w:t xml:space="preserve">he information requested relates to </w:t>
      </w:r>
      <w:r w:rsidR="003A678D">
        <w:t xml:space="preserve">the management of </w:t>
      </w:r>
      <w:r w:rsidR="0023736D">
        <w:t xml:space="preserve">the Empire State Building (“ESB”) </w:t>
      </w:r>
      <w:r w:rsidR="003A678D">
        <w:t>and to</w:t>
      </w:r>
      <w:r w:rsidR="0023736D">
        <w:t xml:space="preserve"> the solicitation of proxies </w:t>
      </w:r>
      <w:r w:rsidR="000700F4">
        <w:t>and</w:t>
      </w:r>
      <w:r w:rsidR="0023736D">
        <w:t xml:space="preserve"> consents to a proposal to create a Real Estate Investment Trust (“REIT”) </w:t>
      </w:r>
      <w:r w:rsidR="000700F4">
        <w:t xml:space="preserve">to include </w:t>
      </w:r>
      <w:r w:rsidR="0023736D">
        <w:t>the ESB and seventeen other business entities located in New York City and Connecticut.</w:t>
      </w:r>
    </w:p>
    <w:p w:rsidR="00C166E6" w:rsidRDefault="00C166E6" w:rsidP="00C166E6">
      <w:pPr>
        <w:spacing w:line="480" w:lineRule="auto"/>
        <w:jc w:val="center"/>
        <w:rPr>
          <w:b/>
        </w:rPr>
      </w:pPr>
      <w:r>
        <w:rPr>
          <w:b/>
        </w:rPr>
        <w:t>JURISDICTION</w:t>
      </w:r>
      <w:r w:rsidR="00F1685A">
        <w:rPr>
          <w:b/>
        </w:rPr>
        <w:t xml:space="preserve"> AND VENUE</w:t>
      </w:r>
    </w:p>
    <w:p w:rsidR="00C166E6" w:rsidRDefault="00C166E6" w:rsidP="00C166E6">
      <w:pPr>
        <w:pStyle w:val="ListParagraph"/>
        <w:numPr>
          <w:ilvl w:val="0"/>
          <w:numId w:val="1"/>
        </w:numPr>
        <w:spacing w:line="480" w:lineRule="auto"/>
        <w:ind w:left="0" w:firstLine="0"/>
      </w:pPr>
      <w:r w:rsidRPr="00C166E6">
        <w:t>This Court has jurisdiction over this action pursuant to 5 U.S.C. § 552(a</w:t>
      </w:r>
      <w:proofErr w:type="gramStart"/>
      <w:r w:rsidRPr="00C166E6">
        <w:t>)(</w:t>
      </w:r>
      <w:proofErr w:type="gramEnd"/>
      <w:r w:rsidRPr="00C166E6">
        <w:t>4)(B)</w:t>
      </w:r>
      <w:r>
        <w:t xml:space="preserve"> and 28 U.S.C. §1331</w:t>
      </w:r>
      <w:r w:rsidRPr="00C166E6">
        <w:t>.</w:t>
      </w:r>
      <w:r w:rsidR="00F1685A">
        <w:t xml:space="preserve">  Venue is proper in this Court under </w:t>
      </w:r>
      <w:r w:rsidR="00F1685A" w:rsidRPr="00C166E6">
        <w:t>5 U.S.C. § 552(a</w:t>
      </w:r>
      <w:proofErr w:type="gramStart"/>
      <w:r w:rsidR="00F1685A" w:rsidRPr="00C166E6">
        <w:t>)(</w:t>
      </w:r>
      <w:proofErr w:type="gramEnd"/>
      <w:r w:rsidR="00F1685A" w:rsidRPr="00C166E6">
        <w:t>4)(B)</w:t>
      </w:r>
      <w:r w:rsidR="00F1685A">
        <w:t xml:space="preserve"> and 28 U.S.C.</w:t>
      </w:r>
      <w:r w:rsidR="00F1685A" w:rsidRPr="00F1685A">
        <w:t xml:space="preserve"> </w:t>
      </w:r>
      <w:r w:rsidR="00F1685A" w:rsidRPr="00C166E6">
        <w:t>§</w:t>
      </w:r>
      <w:r w:rsidR="00F1685A">
        <w:t xml:space="preserve"> 1391(b).</w:t>
      </w:r>
    </w:p>
    <w:p w:rsidR="000700F4" w:rsidRDefault="000700F4" w:rsidP="00065BED">
      <w:pPr>
        <w:spacing w:line="480" w:lineRule="auto"/>
      </w:pPr>
    </w:p>
    <w:p w:rsidR="00F70635" w:rsidRPr="00F70635" w:rsidRDefault="00F70635" w:rsidP="00F70635">
      <w:pPr>
        <w:spacing w:line="480" w:lineRule="auto"/>
        <w:jc w:val="center"/>
        <w:rPr>
          <w:b/>
        </w:rPr>
      </w:pPr>
      <w:r>
        <w:rPr>
          <w:b/>
        </w:rPr>
        <w:lastRenderedPageBreak/>
        <w:t>PARTIES</w:t>
      </w:r>
    </w:p>
    <w:p w:rsidR="00F1685A" w:rsidRDefault="00F70635" w:rsidP="00C166E6">
      <w:pPr>
        <w:pStyle w:val="ListParagraph"/>
        <w:numPr>
          <w:ilvl w:val="0"/>
          <w:numId w:val="1"/>
        </w:numPr>
        <w:spacing w:line="480" w:lineRule="auto"/>
        <w:ind w:left="0" w:firstLine="0"/>
      </w:pPr>
      <w:r>
        <w:t>Richard Edelman resides in Solana</w:t>
      </w:r>
      <w:r w:rsidR="000C14BB">
        <w:t xml:space="preserve"> Beach</w:t>
      </w:r>
      <w:r>
        <w:t>, California.  Among other things, Mr. Edelman operates a website</w:t>
      </w:r>
      <w:r w:rsidR="000C14BB">
        <w:t xml:space="preserve">, </w:t>
      </w:r>
      <w:proofErr w:type="gramStart"/>
      <w:r w:rsidR="000C14BB">
        <w:t>EmpireStateBuildingInvestors.com,</w:t>
      </w:r>
      <w:r>
        <w:t xml:space="preserve"> that</w:t>
      </w:r>
      <w:proofErr w:type="gramEnd"/>
      <w:r>
        <w:t xml:space="preserve"> provides information to investors in the Empire State Building</w:t>
      </w:r>
      <w:r w:rsidR="000C14BB">
        <w:t xml:space="preserve"> and journalists who write about the Empire State Building</w:t>
      </w:r>
      <w:r>
        <w:t>.  Mr. Edelman is a citizen of California.</w:t>
      </w:r>
    </w:p>
    <w:p w:rsidR="00F70635" w:rsidRDefault="00F70635" w:rsidP="00C166E6">
      <w:pPr>
        <w:pStyle w:val="ListParagraph"/>
        <w:numPr>
          <w:ilvl w:val="0"/>
          <w:numId w:val="1"/>
        </w:numPr>
        <w:spacing w:line="480" w:lineRule="auto"/>
        <w:ind w:left="0" w:firstLine="0"/>
      </w:pPr>
      <w:r>
        <w:t>The Securities Exchange Commission is a U.S. government agency established</w:t>
      </w:r>
      <w:r w:rsidR="000700F4">
        <w:t xml:space="preserve"> for the purpose</w:t>
      </w:r>
      <w:r>
        <w:t xml:space="preserve">, among other things, </w:t>
      </w:r>
      <w:r w:rsidR="000700F4">
        <w:t>of</w:t>
      </w:r>
      <w:r>
        <w:t xml:space="preserve"> regulat</w:t>
      </w:r>
      <w:r w:rsidR="000700F4">
        <w:t>ing</w:t>
      </w:r>
      <w:r>
        <w:t xml:space="preserve"> securities</w:t>
      </w:r>
      <w:r w:rsidR="0077644F">
        <w:t xml:space="preserve"> issued to the public</w:t>
      </w:r>
      <w:r>
        <w:t xml:space="preserve">.  The SEC’s headquarters are located in Washington, D.C.  </w:t>
      </w:r>
    </w:p>
    <w:p w:rsidR="00F70635" w:rsidRPr="00F70635" w:rsidRDefault="00F70635" w:rsidP="00F70635">
      <w:pPr>
        <w:spacing w:line="480" w:lineRule="auto"/>
        <w:jc w:val="center"/>
        <w:rPr>
          <w:b/>
        </w:rPr>
      </w:pPr>
      <w:r w:rsidRPr="00F70635">
        <w:rPr>
          <w:b/>
        </w:rPr>
        <w:t>FACTS GIVING RISE TO PLAINTIFF'S CLAIMS FOR RELIEF</w:t>
      </w:r>
    </w:p>
    <w:p w:rsidR="00726457" w:rsidRDefault="007D0E32" w:rsidP="00C166E6">
      <w:pPr>
        <w:pStyle w:val="ListParagraph"/>
        <w:numPr>
          <w:ilvl w:val="0"/>
          <w:numId w:val="1"/>
        </w:numPr>
        <w:spacing w:line="480" w:lineRule="auto"/>
        <w:ind w:left="0" w:firstLine="0"/>
      </w:pPr>
      <w:r>
        <w:t xml:space="preserve">Until October 13, 2013, the ESB was owned by 2,891 individual investors, each of whom had acquired </w:t>
      </w:r>
      <w:r w:rsidR="00065BED">
        <w:t>a</w:t>
      </w:r>
      <w:r>
        <w:t xml:space="preserve"> participation </w:t>
      </w:r>
      <w:r w:rsidR="00065BED">
        <w:t xml:space="preserve">interest or interests </w:t>
      </w:r>
      <w:r>
        <w:t>in a partnership</w:t>
      </w:r>
      <w:r w:rsidR="00726457">
        <w:t>, the Empire State Building Associates (“ESBA”</w:t>
      </w:r>
      <w:r w:rsidR="000700F4">
        <w:t xml:space="preserve">), which was </w:t>
      </w:r>
      <w:r>
        <w:t>formed in 1961.  The participation interests were sold in the early 1960s for $10,000 each, and most of the investors</w:t>
      </w:r>
      <w:r w:rsidR="00726457">
        <w:t>, now of advanced age,</w:t>
      </w:r>
      <w:r>
        <w:t xml:space="preserve"> were </w:t>
      </w:r>
      <w:r w:rsidR="00726457">
        <w:t>people of moderate means.</w:t>
      </w:r>
      <w:r w:rsidR="0077644F">
        <w:t xml:space="preserve">  The ESBA was converted to a limited liability company in 2001.</w:t>
      </w:r>
      <w:r w:rsidR="00726457">
        <w:t xml:space="preserve">  </w:t>
      </w:r>
    </w:p>
    <w:p w:rsidR="001E7EC0" w:rsidRDefault="00726457" w:rsidP="00C166E6">
      <w:pPr>
        <w:pStyle w:val="ListParagraph"/>
        <w:numPr>
          <w:ilvl w:val="0"/>
          <w:numId w:val="1"/>
        </w:numPr>
        <w:spacing w:line="480" w:lineRule="auto"/>
        <w:ind w:left="0" w:firstLine="0"/>
      </w:pPr>
      <w:r>
        <w:t xml:space="preserve">The ESBA owned the ESB, but the building was operated and managed by another entity, the Empire State Building Company (“ESBC”), which was controlled by </w:t>
      </w:r>
      <w:proofErr w:type="spellStart"/>
      <w:r>
        <w:t>Malkin</w:t>
      </w:r>
      <w:proofErr w:type="spellEnd"/>
      <w:r w:rsidR="000C14BB">
        <w:t xml:space="preserve"> Holdings LLC</w:t>
      </w:r>
      <w:r>
        <w:t xml:space="preserve">.  Peter </w:t>
      </w:r>
      <w:proofErr w:type="spellStart"/>
      <w:r>
        <w:t>Malkin</w:t>
      </w:r>
      <w:proofErr w:type="spellEnd"/>
      <w:r>
        <w:t xml:space="preserve"> </w:t>
      </w:r>
      <w:r w:rsidR="000C14BB">
        <w:t xml:space="preserve">and Anthony </w:t>
      </w:r>
      <w:proofErr w:type="spellStart"/>
      <w:r w:rsidR="000C14BB">
        <w:t>Malkin</w:t>
      </w:r>
      <w:proofErr w:type="spellEnd"/>
      <w:r w:rsidR="000C14BB">
        <w:t xml:space="preserve">, who owned </w:t>
      </w:r>
      <w:proofErr w:type="spellStart"/>
      <w:r w:rsidR="000C14BB">
        <w:t>Malkin</w:t>
      </w:r>
      <w:proofErr w:type="spellEnd"/>
      <w:r w:rsidR="000C14BB">
        <w:t xml:space="preserve"> Holdings LLC, </w:t>
      </w:r>
      <w:r>
        <w:t>wore two hats, one</w:t>
      </w:r>
      <w:r w:rsidR="000700F4">
        <w:t xml:space="preserve"> as the agent</w:t>
      </w:r>
      <w:r w:rsidR="000C14BB">
        <w:t>s</w:t>
      </w:r>
      <w:r w:rsidR="000700F4">
        <w:t xml:space="preserve"> of the ESBA and one as the agent</w:t>
      </w:r>
      <w:r w:rsidR="000C14BB">
        <w:t>s</w:t>
      </w:r>
      <w:r w:rsidR="000700F4">
        <w:t xml:space="preserve"> of the ESBC.  </w:t>
      </w:r>
    </w:p>
    <w:p w:rsidR="00F70635" w:rsidRDefault="001E7EC0" w:rsidP="00C166E6">
      <w:pPr>
        <w:pStyle w:val="ListParagraph"/>
        <w:numPr>
          <w:ilvl w:val="0"/>
          <w:numId w:val="1"/>
        </w:numPr>
        <w:spacing w:line="480" w:lineRule="auto"/>
        <w:ind w:left="0" w:firstLine="0"/>
      </w:pPr>
      <w:r>
        <w:t>Because ESBA’s participation interests were publicly solicited, transactions regarding ESBA participation interests were regulate</w:t>
      </w:r>
      <w:r w:rsidR="00065BED">
        <w:t>d</w:t>
      </w:r>
      <w:r>
        <w:t xml:space="preserve"> by the SEC.</w:t>
      </w:r>
      <w:r w:rsidR="00065BED">
        <w:t xml:space="preserve">  </w:t>
      </w:r>
      <w:r>
        <w:t xml:space="preserve"> </w:t>
      </w:r>
      <w:r w:rsidR="00726457">
        <w:t xml:space="preserve"> </w:t>
      </w:r>
      <w:r w:rsidR="007D0E32">
        <w:t xml:space="preserve">  </w:t>
      </w:r>
    </w:p>
    <w:p w:rsidR="001E7EC0" w:rsidRDefault="001E7EC0" w:rsidP="00C166E6">
      <w:pPr>
        <w:pStyle w:val="ListParagraph"/>
        <w:numPr>
          <w:ilvl w:val="0"/>
          <w:numId w:val="1"/>
        </w:numPr>
        <w:spacing w:line="480" w:lineRule="auto"/>
        <w:ind w:left="0" w:firstLine="0"/>
      </w:pPr>
      <w:r>
        <w:t>In 201</w:t>
      </w:r>
      <w:r w:rsidR="00065BED">
        <w:t>0</w:t>
      </w:r>
      <w:r>
        <w:t xml:space="preserve"> </w:t>
      </w:r>
      <w:r w:rsidR="000C14BB">
        <w:t>the</w:t>
      </w:r>
      <w:r>
        <w:t xml:space="preserve"> </w:t>
      </w:r>
      <w:proofErr w:type="spellStart"/>
      <w:r>
        <w:t>Malkin</w:t>
      </w:r>
      <w:r w:rsidR="000C14BB">
        <w:t>s</w:t>
      </w:r>
      <w:proofErr w:type="spellEnd"/>
      <w:r>
        <w:t xml:space="preserve"> began a process leading to the consolidation of the ESB with </w:t>
      </w:r>
      <w:r w:rsidR="003A678D">
        <w:t xml:space="preserve">seventeen business entities owning </w:t>
      </w:r>
      <w:r>
        <w:t>twelve other real estate properties in a REIT called the Empire State Realty Trust</w:t>
      </w:r>
      <w:r w:rsidR="00225934">
        <w:t>, Inc.</w:t>
      </w:r>
      <w:r>
        <w:t xml:space="preserve"> (“ESRT”).  The process culminate</w:t>
      </w:r>
      <w:r w:rsidR="00B27EFA">
        <w:t>d</w:t>
      </w:r>
      <w:r>
        <w:t xml:space="preserve"> in October 2013</w:t>
      </w:r>
      <w:r w:rsidR="00B27EFA">
        <w:t xml:space="preserve"> with an IPO </w:t>
      </w:r>
      <w:r w:rsidR="00B27EFA">
        <w:lastRenderedPageBreak/>
        <w:t xml:space="preserve">sale of securities </w:t>
      </w:r>
      <w:r w:rsidR="0077644F">
        <w:t>issued by</w:t>
      </w:r>
      <w:r w:rsidR="00B27EFA">
        <w:t xml:space="preserve"> ESRT.  Owners of participation interests in the ESBA were required at that time to exchange their participation interests for securities of ESRT.  ESBA was then terminated. </w:t>
      </w:r>
    </w:p>
    <w:p w:rsidR="00065BED" w:rsidRDefault="00065BED" w:rsidP="00C166E6">
      <w:pPr>
        <w:pStyle w:val="ListParagraph"/>
        <w:numPr>
          <w:ilvl w:val="0"/>
          <w:numId w:val="1"/>
        </w:numPr>
        <w:spacing w:line="480" w:lineRule="auto"/>
        <w:ind w:left="0" w:firstLine="0"/>
      </w:pPr>
      <w:r>
        <w:t>ESRT, the shares of which are publicly traded, is subject to SEC regulation.</w:t>
      </w:r>
    </w:p>
    <w:p w:rsidR="00B27EFA" w:rsidRDefault="00B27EFA" w:rsidP="00C166E6">
      <w:pPr>
        <w:pStyle w:val="ListParagraph"/>
        <w:numPr>
          <w:ilvl w:val="0"/>
          <w:numId w:val="1"/>
        </w:numPr>
        <w:spacing w:line="480" w:lineRule="auto"/>
        <w:ind w:left="0" w:firstLine="0"/>
      </w:pPr>
      <w:r>
        <w:t xml:space="preserve">During the three years that </w:t>
      </w:r>
      <w:r w:rsidR="00065BED">
        <w:t>the consolidation</w:t>
      </w:r>
      <w:r>
        <w:t xml:space="preserve"> process was underway, Mr. Edelman posted information regarding SEC filings, press reports, and other information helpful to ESBA investors on the website</w:t>
      </w:r>
      <w:r w:rsidR="00065BED">
        <w:t xml:space="preserve"> </w:t>
      </w:r>
      <w:r w:rsidR="0077644F">
        <w:t>he</w:t>
      </w:r>
      <w:r w:rsidR="00065BED">
        <w:t xml:space="preserve"> maintained,</w:t>
      </w:r>
      <w:r>
        <w:t xml:space="preserve"> </w:t>
      </w:r>
      <w:r w:rsidR="000C14BB">
        <w:t>E</w:t>
      </w:r>
      <w:r>
        <w:t>mpire</w:t>
      </w:r>
      <w:r w:rsidR="000C14BB">
        <w:t>S</w:t>
      </w:r>
      <w:r>
        <w:t>tate</w:t>
      </w:r>
      <w:r w:rsidR="000C14BB">
        <w:t>B</w:t>
      </w:r>
      <w:r>
        <w:t>uild</w:t>
      </w:r>
      <w:r w:rsidR="000C14BB">
        <w:t>i</w:t>
      </w:r>
      <w:r>
        <w:t>n</w:t>
      </w:r>
      <w:r w:rsidR="000C14BB">
        <w:t>gI</w:t>
      </w:r>
      <w:r>
        <w:t xml:space="preserve">nvestors.com.  Mr. Edelman continues to </w:t>
      </w:r>
      <w:r w:rsidR="00065BED">
        <w:t>operate</w:t>
      </w:r>
      <w:r>
        <w:t xml:space="preserve"> the website as a service to the original ESBA investors</w:t>
      </w:r>
      <w:r w:rsidR="000C14BB">
        <w:t xml:space="preserve"> and journalists</w:t>
      </w:r>
      <w:r>
        <w:t>.</w:t>
      </w:r>
    </w:p>
    <w:p w:rsidR="00B4286B" w:rsidRDefault="00B27EFA" w:rsidP="00C166E6">
      <w:pPr>
        <w:pStyle w:val="ListParagraph"/>
        <w:numPr>
          <w:ilvl w:val="0"/>
          <w:numId w:val="1"/>
        </w:numPr>
        <w:spacing w:line="480" w:lineRule="auto"/>
        <w:ind w:left="0" w:firstLine="0"/>
      </w:pPr>
      <w:r>
        <w:t xml:space="preserve">Mr. Edelman has included on his website a substantial amount of information obtained from the SEC’s public website, called “Edgar,” concerning the ESBA and the REIT proposal.  In addition, he has sought from SEC additional information that has not been </w:t>
      </w:r>
      <w:r w:rsidR="00065BED">
        <w:t>publicly available through</w:t>
      </w:r>
      <w:r>
        <w:t xml:space="preserve"> </w:t>
      </w:r>
      <w:r w:rsidR="00B4286B">
        <w:t>E</w:t>
      </w:r>
      <w:r>
        <w:t>dgar</w:t>
      </w:r>
      <w:r w:rsidR="00B4286B">
        <w:t>.</w:t>
      </w:r>
    </w:p>
    <w:p w:rsidR="00B4286B" w:rsidRDefault="00B4286B" w:rsidP="00C166E6">
      <w:pPr>
        <w:pStyle w:val="ListParagraph"/>
        <w:numPr>
          <w:ilvl w:val="0"/>
          <w:numId w:val="1"/>
        </w:numPr>
        <w:spacing w:line="480" w:lineRule="auto"/>
        <w:ind w:left="0" w:firstLine="0"/>
      </w:pPr>
      <w:r>
        <w:t xml:space="preserve">Beginning on January 6, 2014, and extending through April 4, 2014, Mr. Edelman made six separate requests for </w:t>
      </w:r>
      <w:r w:rsidR="00E556D1">
        <w:t xml:space="preserve">SEC </w:t>
      </w:r>
      <w:r>
        <w:t xml:space="preserve">documents under the </w:t>
      </w:r>
      <w:r w:rsidR="00E556D1">
        <w:t xml:space="preserve">provisions of the </w:t>
      </w:r>
      <w:r>
        <w:t>FOIA</w:t>
      </w:r>
      <w:r w:rsidR="00E556D1">
        <w:t>.  T</w:t>
      </w:r>
      <w:r>
        <w:t xml:space="preserve">he SEC has failed to provide a timely response to </w:t>
      </w:r>
      <w:r w:rsidR="00E556D1">
        <w:t xml:space="preserve">any </w:t>
      </w:r>
      <w:r>
        <w:t>of these requests.</w:t>
      </w:r>
    </w:p>
    <w:p w:rsidR="00B27EFA" w:rsidRDefault="00B4286B" w:rsidP="00225934">
      <w:pPr>
        <w:pStyle w:val="ListParagraph"/>
        <w:numPr>
          <w:ilvl w:val="0"/>
          <w:numId w:val="1"/>
        </w:numPr>
        <w:spacing w:line="480" w:lineRule="auto"/>
        <w:ind w:left="0" w:firstLine="0"/>
      </w:pPr>
      <w:r>
        <w:t>On January 6, 2014, Mr. Edelman submitted a request for the following</w:t>
      </w:r>
      <w:r w:rsidR="00225934">
        <w:t xml:space="preserve"> information pertaining to ESRT (referred to as the registrant)</w:t>
      </w:r>
      <w:r>
        <w:t xml:space="preserve">:   </w:t>
      </w:r>
      <w:r w:rsidR="00225934">
        <w:t xml:space="preserve">all comment letters from SEC staff not currently displayed on </w:t>
      </w:r>
      <w:r w:rsidR="00E556D1">
        <w:t xml:space="preserve">the </w:t>
      </w:r>
      <w:r w:rsidR="00225934">
        <w:t xml:space="preserve">SEC public website; all submissions from </w:t>
      </w:r>
      <w:r w:rsidR="00E556D1">
        <w:t xml:space="preserve">the </w:t>
      </w:r>
      <w:r w:rsidR="00225934">
        <w:t>registrant in response to SEC comment letters</w:t>
      </w:r>
      <w:r w:rsidR="00E556D1">
        <w:t>;</w:t>
      </w:r>
      <w:r w:rsidR="00225934">
        <w:t xml:space="preserve"> all submissions from </w:t>
      </w:r>
      <w:r w:rsidR="00E556D1">
        <w:t xml:space="preserve">the </w:t>
      </w:r>
      <w:r w:rsidR="00225934">
        <w:t xml:space="preserve">registrant submitted under </w:t>
      </w:r>
      <w:r w:rsidR="00E556D1">
        <w:t xml:space="preserve">SEC </w:t>
      </w:r>
      <w:r w:rsidR="00225934">
        <w:t xml:space="preserve">Rule 83; all emails to and from </w:t>
      </w:r>
      <w:r w:rsidR="00E556D1">
        <w:t xml:space="preserve">the </w:t>
      </w:r>
      <w:r w:rsidR="00225934">
        <w:t xml:space="preserve">registrant and SEC attorneys David </w:t>
      </w:r>
      <w:proofErr w:type="spellStart"/>
      <w:r w:rsidR="00225934">
        <w:t>Orlick</w:t>
      </w:r>
      <w:proofErr w:type="spellEnd"/>
      <w:r w:rsidR="00225934">
        <w:t xml:space="preserve">, Tom </w:t>
      </w:r>
      <w:proofErr w:type="spellStart"/>
      <w:r w:rsidR="00225934">
        <w:t>Kluck</w:t>
      </w:r>
      <w:proofErr w:type="spellEnd"/>
      <w:r w:rsidR="00225934">
        <w:t xml:space="preserve"> and Angela McHale; all notes from meetings pertaining to </w:t>
      </w:r>
      <w:r w:rsidR="00E556D1">
        <w:t xml:space="preserve">the </w:t>
      </w:r>
      <w:r w:rsidR="00225934">
        <w:t xml:space="preserve">registrant and which SEC attorneys David </w:t>
      </w:r>
      <w:proofErr w:type="spellStart"/>
      <w:r w:rsidR="00225934">
        <w:t>Orlick</w:t>
      </w:r>
      <w:proofErr w:type="spellEnd"/>
      <w:r w:rsidR="00225934">
        <w:t xml:space="preserve">, Tom </w:t>
      </w:r>
      <w:proofErr w:type="spellStart"/>
      <w:r w:rsidR="00225934">
        <w:t>Kluck</w:t>
      </w:r>
      <w:proofErr w:type="spellEnd"/>
      <w:r w:rsidR="00225934">
        <w:t xml:space="preserve"> or Angela McHale attended.  SEC acknowledged receipt of this request </w:t>
      </w:r>
      <w:r w:rsidR="006A5F4D">
        <w:t xml:space="preserve">for communications with ESRT </w:t>
      </w:r>
      <w:r w:rsidR="00225934">
        <w:t>on January 6, 2014, and designated the request No. 14-03043-FOIA.</w:t>
      </w:r>
      <w:r w:rsidR="00B27EFA">
        <w:t xml:space="preserve"> </w:t>
      </w:r>
    </w:p>
    <w:p w:rsidR="003F73C6" w:rsidRDefault="003F73C6" w:rsidP="005D195E">
      <w:pPr>
        <w:pStyle w:val="ListParagraph"/>
        <w:numPr>
          <w:ilvl w:val="0"/>
          <w:numId w:val="1"/>
        </w:numPr>
        <w:spacing w:line="480" w:lineRule="auto"/>
        <w:ind w:left="0" w:firstLine="0"/>
      </w:pPr>
      <w:r>
        <w:lastRenderedPageBreak/>
        <w:t xml:space="preserve">On January 8, 2014, Mr. Edelman submitted a request for the following information pertaining to the sublease between ESBA and ESBC:  all information </w:t>
      </w:r>
      <w:r w:rsidR="00416747">
        <w:t xml:space="preserve">or communications </w:t>
      </w:r>
      <w:r>
        <w:t xml:space="preserve">between SEC employees and Empire State Building Associates LLC or Empire State Realty Trust, Inc. and their representatives from 1/12/12 to 4/11/12 </w:t>
      </w:r>
      <w:r w:rsidR="00416747">
        <w:t>in which</w:t>
      </w:r>
      <w:r>
        <w:t xml:space="preserve"> the Sublease for the Empire State Building is mentioned</w:t>
      </w:r>
      <w:r w:rsidR="00416747">
        <w:t xml:space="preserve">, including </w:t>
      </w:r>
      <w:r w:rsidR="005D195E">
        <w:t>a</w:t>
      </w:r>
      <w:r>
        <w:t>ny and all emails from</w:t>
      </w:r>
      <w:r w:rsidR="005D195E">
        <w:t xml:space="preserve"> or </w:t>
      </w:r>
      <w:r>
        <w:t xml:space="preserve">to Mary </w:t>
      </w:r>
      <w:proofErr w:type="spellStart"/>
      <w:r>
        <w:t>Kosterlitz</w:t>
      </w:r>
      <w:proofErr w:type="spellEnd"/>
      <w:r>
        <w:t>, Office of Enforcement Liaison</w:t>
      </w:r>
      <w:r w:rsidR="005D195E">
        <w:t xml:space="preserve">, </w:t>
      </w:r>
      <w:r w:rsidR="00416747">
        <w:t xml:space="preserve">Tom </w:t>
      </w:r>
      <w:proofErr w:type="spellStart"/>
      <w:r w:rsidR="00416747">
        <w:t>Kluck</w:t>
      </w:r>
      <w:proofErr w:type="spellEnd"/>
      <w:r w:rsidR="00416747">
        <w:t xml:space="preserve">, Division of Corporate Finance,  or any other SEC employee </w:t>
      </w:r>
      <w:r w:rsidR="005D195E">
        <w:t>in which the ESB sublease is mentioned</w:t>
      </w:r>
      <w:r w:rsidR="00416747">
        <w:t>;</w:t>
      </w:r>
      <w:r>
        <w:t xml:space="preserve"> </w:t>
      </w:r>
      <w:r w:rsidR="00416747">
        <w:t>a</w:t>
      </w:r>
      <w:r>
        <w:t>ny notes from SEC meetings where the Sublease to the Empire State Building is mentioned</w:t>
      </w:r>
      <w:r w:rsidR="00416747">
        <w:t>;</w:t>
      </w:r>
      <w:r>
        <w:t xml:space="preserve"> </w:t>
      </w:r>
      <w:r w:rsidR="00416747">
        <w:t>a</w:t>
      </w:r>
      <w:r>
        <w:t>ny notes from phone conversations or correspondence of any nature between the SEC and Empire State Building Associate LLC, Empire State Realty Trust</w:t>
      </w:r>
      <w:r w:rsidR="00416747">
        <w:t xml:space="preserve"> LLC,</w:t>
      </w:r>
      <w:r>
        <w:t xml:space="preserve"> or their representatives where the Sublease for the Empire State Building is mentioned</w:t>
      </w:r>
      <w:r w:rsidR="00416747">
        <w:t>; a</w:t>
      </w:r>
      <w:r>
        <w:t>ny and all exhibits filed by Empire State Building Associates LLC or Empire State Realty Trust LLC that reference the Sublease of the Empire State Building</w:t>
      </w:r>
      <w:r w:rsidR="00416747">
        <w:t>; a</w:t>
      </w:r>
      <w:r>
        <w:t xml:space="preserve">ll submissions from Empire State Building Associates LLC or Empire State Realty Trust, Inc. submitted under Rule 83 that mention the words Sublease or Lease to the Empire State Building.  SEC acknowledged receipt of this request for </w:t>
      </w:r>
      <w:r w:rsidR="00416747">
        <w:t xml:space="preserve">documents related to the Sublease </w:t>
      </w:r>
      <w:r>
        <w:t xml:space="preserve">on January </w:t>
      </w:r>
      <w:r w:rsidR="00416747">
        <w:t>8</w:t>
      </w:r>
      <w:r>
        <w:t>, 2014, and designated the request No. 14-03</w:t>
      </w:r>
      <w:r w:rsidR="00416747">
        <w:t>257</w:t>
      </w:r>
      <w:r>
        <w:t>-FOIA</w:t>
      </w:r>
      <w:r w:rsidR="00416747">
        <w:t>.</w:t>
      </w:r>
    </w:p>
    <w:p w:rsidR="00225934" w:rsidRDefault="00225934" w:rsidP="00E556D1">
      <w:pPr>
        <w:pStyle w:val="ListParagraph"/>
        <w:numPr>
          <w:ilvl w:val="0"/>
          <w:numId w:val="1"/>
        </w:numPr>
        <w:spacing w:line="480" w:lineRule="auto"/>
        <w:ind w:left="0" w:firstLine="0"/>
      </w:pPr>
      <w:r>
        <w:t xml:space="preserve">On January 10, 2014, Mr. Edelman submitted a request for the following information pertaining to ESRT:   </w:t>
      </w:r>
      <w:r w:rsidR="00E556D1">
        <w:t xml:space="preserve">a list of any and all documents submitted by the registrant and granted confidential treatment under SEC rules Rule 406 of the Securities Act or Rule 24b-2 of the Exchange Act or Rule 83 of the Commission's Rules of Practice.  The request also asked for the date each such documents was submitted to the SEC, the subject of each document, and the name of the SEC official granting confidential treatment.  </w:t>
      </w:r>
      <w:r>
        <w:t xml:space="preserve">SEC acknowledged receipt of this request </w:t>
      </w:r>
      <w:r w:rsidR="006A5F4D">
        <w:t xml:space="preserve">for confidential documents </w:t>
      </w:r>
      <w:r>
        <w:t xml:space="preserve">on January </w:t>
      </w:r>
      <w:r w:rsidR="0084792C">
        <w:t>10</w:t>
      </w:r>
      <w:r>
        <w:t>, 2014, and designated the request No. 14-03</w:t>
      </w:r>
      <w:r w:rsidR="00E556D1">
        <w:t>398</w:t>
      </w:r>
      <w:r>
        <w:t>-FOIA.</w:t>
      </w:r>
    </w:p>
    <w:p w:rsidR="006A5F4D" w:rsidRDefault="006A5F4D" w:rsidP="006A5F4D">
      <w:pPr>
        <w:pStyle w:val="ListParagraph"/>
        <w:numPr>
          <w:ilvl w:val="0"/>
          <w:numId w:val="1"/>
        </w:numPr>
        <w:spacing w:line="480" w:lineRule="auto"/>
        <w:ind w:left="0" w:firstLine="0"/>
      </w:pPr>
      <w:r w:rsidRPr="006A5F4D">
        <w:lastRenderedPageBreak/>
        <w:t>On January 1</w:t>
      </w:r>
      <w:r>
        <w:t>5</w:t>
      </w:r>
      <w:r w:rsidRPr="006A5F4D">
        <w:t xml:space="preserve">, 2014, Mr. Edelman submitted </w:t>
      </w:r>
      <w:r>
        <w:t>the following FOIA request:</w:t>
      </w:r>
    </w:p>
    <w:p w:rsidR="006A5F4D" w:rsidRDefault="006A5F4D" w:rsidP="006A5F4D">
      <w:pPr>
        <w:ind w:left="1440" w:right="1440"/>
      </w:pPr>
      <w:proofErr w:type="gramStart"/>
      <w:r>
        <w:t>Consumer complaints.</w:t>
      </w:r>
      <w:proofErr w:type="gramEnd"/>
    </w:p>
    <w:p w:rsidR="006A5F4D" w:rsidRDefault="006A5F4D" w:rsidP="006A5F4D">
      <w:pPr>
        <w:ind w:left="1440" w:right="1440"/>
      </w:pPr>
      <w:r>
        <w:t xml:space="preserve">Dozens of investors in Empire State Building Associates LLC lodged complaints during the SEC review process for Empire State Realty Trust, Inc. These investors were interviewed by SEC lawyers by phone.  The SEC lawyers who conducted the interviews were David </w:t>
      </w:r>
      <w:proofErr w:type="spellStart"/>
      <w:r>
        <w:t>Orlick</w:t>
      </w:r>
      <w:proofErr w:type="spellEnd"/>
      <w:r>
        <w:t xml:space="preserve">, Tom </w:t>
      </w:r>
      <w:proofErr w:type="spellStart"/>
      <w:r>
        <w:t>Kluck</w:t>
      </w:r>
      <w:proofErr w:type="spellEnd"/>
      <w:r>
        <w:t xml:space="preserve"> and Angela McHale.  I request all notes, reports, emails or any other accounts from these interviews with investors.  I request all emails to and from the above named SEC lawyers where those complaints and interviews are discussed.  I understand and expect the names of investors to be redacted to protect confidentiality.</w:t>
      </w:r>
    </w:p>
    <w:p w:rsidR="006A5F4D" w:rsidRDefault="006A5F4D" w:rsidP="006A5F4D">
      <w:pPr>
        <w:ind w:left="1440" w:right="1440"/>
      </w:pPr>
    </w:p>
    <w:p w:rsidR="006A5F4D" w:rsidRPr="006A5F4D" w:rsidRDefault="006A5F4D" w:rsidP="006A5F4D">
      <w:pPr>
        <w:pStyle w:val="ListParagraph"/>
        <w:numPr>
          <w:ilvl w:val="0"/>
          <w:numId w:val="1"/>
        </w:numPr>
        <w:spacing w:line="480" w:lineRule="auto"/>
        <w:ind w:left="0" w:firstLine="0"/>
      </w:pPr>
      <w:r w:rsidRPr="006A5F4D">
        <w:t xml:space="preserve">SEC acknowledged receipt of this request </w:t>
      </w:r>
      <w:r w:rsidR="003F73C6">
        <w:t xml:space="preserve">for consumer complaints </w:t>
      </w:r>
      <w:r w:rsidRPr="006A5F4D">
        <w:t>on January 1</w:t>
      </w:r>
      <w:r>
        <w:t>5</w:t>
      </w:r>
      <w:r w:rsidRPr="006A5F4D">
        <w:t>, 2014, and designated the request No. 14-</w:t>
      </w:r>
      <w:r>
        <w:t>03452</w:t>
      </w:r>
      <w:r w:rsidRPr="006A5F4D">
        <w:t>-FOIA.</w:t>
      </w:r>
    </w:p>
    <w:p w:rsidR="006A5F4D" w:rsidRDefault="003F73C6" w:rsidP="00F10396">
      <w:pPr>
        <w:pStyle w:val="ListParagraph"/>
        <w:numPr>
          <w:ilvl w:val="0"/>
          <w:numId w:val="1"/>
        </w:numPr>
        <w:spacing w:line="480" w:lineRule="auto"/>
        <w:ind w:left="0" w:firstLine="0"/>
      </w:pPr>
      <w:r>
        <w:t xml:space="preserve">On </w:t>
      </w:r>
      <w:r w:rsidR="00416747">
        <w:t>March 27</w:t>
      </w:r>
      <w:r>
        <w:t xml:space="preserve">, 2014, Mr. Edelman submitted a request for the following information pertaining:   </w:t>
      </w:r>
      <w:r w:rsidR="00F10396">
        <w:t>e</w:t>
      </w:r>
      <w:r w:rsidR="00F10396" w:rsidRPr="00F10396">
        <w:t>mails, letters to/from Empire State Realty Trust, Inc</w:t>
      </w:r>
      <w:r w:rsidR="005D51E8">
        <w:t>.</w:t>
      </w:r>
      <w:r w:rsidR="00F10396" w:rsidRPr="00F10396">
        <w:t xml:space="preserve"> and/or </w:t>
      </w:r>
      <w:proofErr w:type="spellStart"/>
      <w:r w:rsidR="00F10396" w:rsidRPr="00F10396">
        <w:t>Malkin</w:t>
      </w:r>
      <w:proofErr w:type="spellEnd"/>
      <w:r w:rsidR="00F10396" w:rsidRPr="00F10396">
        <w:t xml:space="preserve"> Holdings, their representatives, and the SEC</w:t>
      </w:r>
      <w:r w:rsidR="00F10396">
        <w:t>;</w:t>
      </w:r>
      <w:r w:rsidR="00F10396" w:rsidRPr="00F10396">
        <w:t xml:space="preserve"> </w:t>
      </w:r>
      <w:r w:rsidR="00F408DF">
        <w:t>e</w:t>
      </w:r>
      <w:r w:rsidR="00F10396" w:rsidRPr="00F10396">
        <w:t>mails, letters, and notes from meetings/phone conversations from/to SEC FOIA office and oth</w:t>
      </w:r>
      <w:r w:rsidR="00F10396">
        <w:t>e</w:t>
      </w:r>
      <w:r w:rsidR="00F10396" w:rsidRPr="00F10396">
        <w:t>r SEC departments concerning any and all FOIA requests for Empire State Realty Trust</w:t>
      </w:r>
      <w:r w:rsidR="00F10396">
        <w:t>;</w:t>
      </w:r>
      <w:r w:rsidR="00F10396" w:rsidRPr="00F10396">
        <w:t xml:space="preserve"> </w:t>
      </w:r>
      <w:r w:rsidR="00F10396">
        <w:t>e</w:t>
      </w:r>
      <w:r w:rsidR="00F10396" w:rsidRPr="00F10396">
        <w:t xml:space="preserve">mails and notes from meetings/phone conversations from/to SEC Division of Corporate Finance that mention any FOIA requests for Empire State Realty Trust and/or </w:t>
      </w:r>
      <w:proofErr w:type="spellStart"/>
      <w:r w:rsidR="00F10396" w:rsidRPr="00F10396">
        <w:t>Malkin</w:t>
      </w:r>
      <w:proofErr w:type="spellEnd"/>
      <w:r w:rsidR="00F10396" w:rsidRPr="00F10396">
        <w:t xml:space="preserve"> Holdings.</w:t>
      </w:r>
      <w:r>
        <w:t xml:space="preserve">  SEC acknowledged receipt of this request for </w:t>
      </w:r>
      <w:r w:rsidR="00F10396">
        <w:t>emails related to</w:t>
      </w:r>
      <w:r>
        <w:t xml:space="preserve"> ESRT on </w:t>
      </w:r>
      <w:r w:rsidR="00F10396">
        <w:t>March 27</w:t>
      </w:r>
      <w:r>
        <w:t xml:space="preserve">, 2014, </w:t>
      </w:r>
      <w:r w:rsidR="00416747">
        <w:t xml:space="preserve">broke the request into four separate requests, </w:t>
      </w:r>
      <w:r>
        <w:t>and designated the request</w:t>
      </w:r>
      <w:r w:rsidR="00416747">
        <w:t>s</w:t>
      </w:r>
      <w:r>
        <w:t xml:space="preserve"> No</w:t>
      </w:r>
      <w:r w:rsidR="00416747">
        <w:t>s</w:t>
      </w:r>
      <w:r>
        <w:t>. 14-0</w:t>
      </w:r>
      <w:r w:rsidR="00416747">
        <w:t>6366</w:t>
      </w:r>
      <w:r>
        <w:t>-FOIA</w:t>
      </w:r>
      <w:r w:rsidR="00416747">
        <w:t xml:space="preserve"> through 14-06369.</w:t>
      </w:r>
    </w:p>
    <w:p w:rsidR="00F10396" w:rsidRDefault="00751D72" w:rsidP="00F408DF">
      <w:pPr>
        <w:pStyle w:val="ListParagraph"/>
        <w:numPr>
          <w:ilvl w:val="0"/>
          <w:numId w:val="1"/>
        </w:numPr>
        <w:spacing w:line="480" w:lineRule="auto"/>
        <w:ind w:left="0" w:firstLine="0"/>
      </w:pPr>
      <w:r>
        <w:t xml:space="preserve">    </w:t>
      </w:r>
      <w:r w:rsidR="00F408DF">
        <w:t xml:space="preserve">On April 4, 2014, Mr. Edelman submitted a request for the following information pertaining to ESRT:   </w:t>
      </w:r>
      <w:r w:rsidR="00F408DF" w:rsidRPr="00F408DF">
        <w:t>Letters, emails to the SEC or notes from meetings or phone calls with the SEC from any government official other than SEC employees concerning Empire State Realty Trust, Inc.</w:t>
      </w:r>
      <w:r w:rsidR="00F408DF">
        <w:t>,</w:t>
      </w:r>
      <w:r w:rsidR="00F408DF" w:rsidRPr="00F408DF">
        <w:t xml:space="preserve"> </w:t>
      </w:r>
      <w:r w:rsidR="00F408DF">
        <w:t>e</w:t>
      </w:r>
      <w:r w:rsidR="00F408DF" w:rsidRPr="00F408DF">
        <w:t>lected officials or not, Federal, State or any other Government official.</w:t>
      </w:r>
      <w:r w:rsidR="00F408DF">
        <w:t xml:space="preserve">  SEC </w:t>
      </w:r>
      <w:r w:rsidR="00F408DF">
        <w:lastRenderedPageBreak/>
        <w:t>acknowledged receipt of this request for intra-governmental communications concerning ESRT on April 4, 2014, and designated the request No. 14-</w:t>
      </w:r>
      <w:r w:rsidR="004B14C0">
        <w:t>06652</w:t>
      </w:r>
      <w:r w:rsidR="00F408DF">
        <w:t>-FOIA.</w:t>
      </w:r>
    </w:p>
    <w:p w:rsidR="004B14C0" w:rsidRDefault="004B14C0" w:rsidP="004B14C0">
      <w:pPr>
        <w:pStyle w:val="ListParagraph"/>
        <w:numPr>
          <w:ilvl w:val="0"/>
          <w:numId w:val="1"/>
        </w:numPr>
        <w:spacing w:line="480" w:lineRule="auto"/>
        <w:ind w:left="0" w:firstLine="0"/>
      </w:pPr>
      <w:r w:rsidRPr="004B14C0">
        <w:t>Pursuant to 17 CFR § 200.80(d</w:t>
      </w:r>
      <w:proofErr w:type="gramStart"/>
      <w:r w:rsidRPr="004B14C0">
        <w:t>)(</w:t>
      </w:r>
      <w:proofErr w:type="gramEnd"/>
      <w:r w:rsidRPr="004B14C0">
        <w:t xml:space="preserve">5), a response to </w:t>
      </w:r>
      <w:r>
        <w:t xml:space="preserve">each of </w:t>
      </w:r>
      <w:r w:rsidRPr="004B14C0">
        <w:t>Mr. Edelman’s request</w:t>
      </w:r>
      <w:r>
        <w:t xml:space="preserve">s </w:t>
      </w:r>
      <w:r w:rsidRPr="004B14C0">
        <w:t xml:space="preserve">was due </w:t>
      </w:r>
      <w:r>
        <w:t>within 20 business days</w:t>
      </w:r>
      <w:r w:rsidRPr="004B14C0">
        <w:t xml:space="preserve">.  </w:t>
      </w:r>
      <w:r w:rsidR="005418B6">
        <w:t>A</w:t>
      </w:r>
      <w:r w:rsidR="005418B6" w:rsidRPr="004B14C0">
        <w:t>s provided by 17 CFR § 200.80(d</w:t>
      </w:r>
      <w:proofErr w:type="gramStart"/>
      <w:r w:rsidR="005418B6" w:rsidRPr="004B14C0">
        <w:t>)(</w:t>
      </w:r>
      <w:proofErr w:type="gramEnd"/>
      <w:r w:rsidR="005418B6" w:rsidRPr="004B14C0">
        <w:t xml:space="preserve">6),  the SEC’s failure to respond within the time allowed constitutes a denial of </w:t>
      </w:r>
      <w:r w:rsidR="005418B6">
        <w:t>each</w:t>
      </w:r>
      <w:r w:rsidR="005418B6" w:rsidRPr="004B14C0">
        <w:t xml:space="preserve"> request.  </w:t>
      </w:r>
    </w:p>
    <w:p w:rsidR="00BE3601" w:rsidRDefault="005418B6" w:rsidP="004B14C0">
      <w:pPr>
        <w:pStyle w:val="ListParagraph"/>
        <w:numPr>
          <w:ilvl w:val="0"/>
          <w:numId w:val="1"/>
        </w:numPr>
        <w:spacing w:line="480" w:lineRule="auto"/>
        <w:ind w:left="0" w:firstLine="0"/>
      </w:pPr>
      <w:r>
        <w:t xml:space="preserve">The SEC failed to respond within the time allowed to any of the </w:t>
      </w:r>
      <w:r w:rsidR="00E04474">
        <w:t xml:space="preserve">six </w:t>
      </w:r>
      <w:r>
        <w:t xml:space="preserve">requests. </w:t>
      </w:r>
      <w:r w:rsidR="00E04474">
        <w:t>Extraordinary delays have been unexplained</w:t>
      </w:r>
      <w:r w:rsidR="000C14BB">
        <w:t>.</w:t>
      </w:r>
    </w:p>
    <w:p w:rsidR="005418B6" w:rsidRDefault="005418B6" w:rsidP="004B14C0">
      <w:pPr>
        <w:pStyle w:val="ListParagraph"/>
        <w:numPr>
          <w:ilvl w:val="0"/>
          <w:numId w:val="1"/>
        </w:numPr>
        <w:spacing w:line="480" w:lineRule="auto"/>
        <w:ind w:left="0" w:firstLine="0"/>
      </w:pPr>
      <w:r w:rsidRPr="004B14C0">
        <w:t>To date, and despite repeated requests from Mr. Edelman to obtain a response to his request</w:t>
      </w:r>
      <w:r>
        <w:t>s</w:t>
      </w:r>
      <w:r w:rsidRPr="004B14C0">
        <w:t>, the SEC has failed to produce the requested documents</w:t>
      </w:r>
      <w:r>
        <w:t xml:space="preserve"> or to provide a response that adequately explains the agency’s failure to produce the requested information</w:t>
      </w:r>
      <w:r w:rsidRPr="004B14C0">
        <w:t>.</w:t>
      </w:r>
    </w:p>
    <w:p w:rsidR="00742CCF" w:rsidRDefault="004B14C0" w:rsidP="004B14C0">
      <w:pPr>
        <w:pStyle w:val="ListParagraph"/>
        <w:numPr>
          <w:ilvl w:val="0"/>
          <w:numId w:val="1"/>
        </w:numPr>
        <w:spacing w:line="480" w:lineRule="auto"/>
        <w:ind w:left="0" w:firstLine="0"/>
      </w:pPr>
      <w:r>
        <w:t>Mr. Edelman filed a timely appeal to the Office of Freedom of Information and Privacy Act Operations with respect to each of his requests, noting in each case that the failure to respond within the time prescribed by SEC’s own regulations constituted a denial of his request</w:t>
      </w:r>
      <w:r w:rsidR="00742CCF">
        <w:t>s</w:t>
      </w:r>
      <w:r>
        <w:t xml:space="preserve">.  In each case, the SEC acknowledged receipt of the appeal.  </w:t>
      </w:r>
    </w:p>
    <w:p w:rsidR="00AC3FBE" w:rsidRDefault="00AC3FBE" w:rsidP="004B14C0">
      <w:pPr>
        <w:pStyle w:val="ListParagraph"/>
        <w:numPr>
          <w:ilvl w:val="0"/>
          <w:numId w:val="1"/>
        </w:numPr>
        <w:spacing w:line="480" w:lineRule="auto"/>
        <w:ind w:left="0" w:firstLine="0"/>
      </w:pPr>
      <w:r w:rsidRPr="004B14C0">
        <w:t>Pursuant to 17 CFR § 200.80(d</w:t>
      </w:r>
      <w:proofErr w:type="gramStart"/>
      <w:r w:rsidRPr="004B14C0">
        <w:t>)(</w:t>
      </w:r>
      <w:proofErr w:type="gramEnd"/>
      <w:r>
        <w:t>6</w:t>
      </w:r>
      <w:r w:rsidRPr="004B14C0">
        <w:t>),</w:t>
      </w:r>
      <w:r>
        <w:t xml:space="preserve"> a decision on an appeal is due within 20 business days of the receipt of the appeal.</w:t>
      </w:r>
    </w:p>
    <w:p w:rsidR="00742CCF" w:rsidRDefault="00742CCF" w:rsidP="00742CCF">
      <w:pPr>
        <w:pStyle w:val="ListParagraph"/>
        <w:numPr>
          <w:ilvl w:val="0"/>
          <w:numId w:val="1"/>
        </w:numPr>
        <w:spacing w:line="480" w:lineRule="auto"/>
        <w:ind w:left="0" w:firstLine="0"/>
      </w:pPr>
      <w:r>
        <w:t xml:space="preserve">In response to the </w:t>
      </w:r>
      <w:r w:rsidR="00BE3601">
        <w:t xml:space="preserve">fourth </w:t>
      </w:r>
      <w:r>
        <w:t>request, No. 14-03452-FOIA, which covers consumer complaints about ESRT and interviews by SEC staff lawyers of persons who had filed complaints</w:t>
      </w:r>
      <w:r w:rsidR="000F096E">
        <w:t xml:space="preserve"> (paragraph 16 above)</w:t>
      </w:r>
      <w:r>
        <w:t xml:space="preserve">, Mr. Edelman received a written response following his appeal.  As noted in his appeal, a response to </w:t>
      </w:r>
      <w:r w:rsidR="00AC3FBE">
        <w:t>the initial</w:t>
      </w:r>
      <w:r>
        <w:t xml:space="preserve"> request was due on February 13, 2014.  </w:t>
      </w:r>
      <w:r w:rsidR="00AC3FBE">
        <w:t>The</w:t>
      </w:r>
      <w:r>
        <w:t xml:space="preserve"> appeal</w:t>
      </w:r>
      <w:r w:rsidR="00AC3FBE">
        <w:t xml:space="preserve"> was filed on March 26, 2014.  O</w:t>
      </w:r>
      <w:r>
        <w:t xml:space="preserve">n April 30, 2014, </w:t>
      </w:r>
      <w:r w:rsidR="000C14BB">
        <w:t xml:space="preserve">some 75 days late, </w:t>
      </w:r>
      <w:r>
        <w:t>the SEC issued a “</w:t>
      </w:r>
      <w:r w:rsidRPr="00C03117">
        <w:rPr>
          <w:i/>
        </w:rPr>
        <w:t>Glomar</w:t>
      </w:r>
      <w:r>
        <w:t>” response to this request</w:t>
      </w:r>
      <w:r w:rsidR="005418B6">
        <w:t>,</w:t>
      </w:r>
      <w:r w:rsidR="003A678D">
        <w:t xml:space="preserve"> which essentially refuses to answer the request</w:t>
      </w:r>
      <w:r w:rsidR="005418B6">
        <w:t xml:space="preserve"> on the grounds that an investigation may or may not be underway</w:t>
      </w:r>
      <w:r>
        <w:t xml:space="preserve">.  A copy of the </w:t>
      </w:r>
      <w:r w:rsidRPr="00C03117">
        <w:rPr>
          <w:i/>
        </w:rPr>
        <w:t>Glomar</w:t>
      </w:r>
      <w:r>
        <w:t xml:space="preserve"> response is </w:t>
      </w:r>
      <w:r>
        <w:lastRenderedPageBreak/>
        <w:t>attached as Exhibit A.</w:t>
      </w:r>
      <w:r w:rsidR="00AC3FBE">
        <w:t xml:space="preserve">  Mr. Edelman then filed a</w:t>
      </w:r>
      <w:r w:rsidR="000C14BB">
        <w:t xml:space="preserve"> second </w:t>
      </w:r>
      <w:r w:rsidR="00AC3FBE">
        <w:t xml:space="preserve">appeal of the </w:t>
      </w:r>
      <w:r w:rsidR="00AC3FBE" w:rsidRPr="00C03117">
        <w:rPr>
          <w:i/>
        </w:rPr>
        <w:t>Glomar</w:t>
      </w:r>
      <w:r w:rsidR="00AC3FBE">
        <w:t xml:space="preserve"> response, which SEC acknowledged on June 3, 2014.  .</w:t>
      </w:r>
    </w:p>
    <w:p w:rsidR="009A418C" w:rsidRDefault="00742CCF" w:rsidP="004B14C0">
      <w:pPr>
        <w:pStyle w:val="ListParagraph"/>
        <w:numPr>
          <w:ilvl w:val="0"/>
          <w:numId w:val="1"/>
        </w:numPr>
        <w:spacing w:line="480" w:lineRule="auto"/>
        <w:ind w:left="0" w:firstLine="0"/>
      </w:pPr>
      <w:r>
        <w:t xml:space="preserve">  In response to three of the appeals, the SEC’s Office of General Counsel </w:t>
      </w:r>
      <w:r w:rsidR="00AC3FBE">
        <w:t xml:space="preserve">on April 30, 2014, </w:t>
      </w:r>
      <w:r>
        <w:t>remanded the requests to the responsible agency official.  Remands</w:t>
      </w:r>
      <w:r w:rsidR="00AC3FBE">
        <w:t xml:space="preserve"> were made with respect to the request</w:t>
      </w:r>
      <w:r w:rsidR="009A418C">
        <w:t>s</w:t>
      </w:r>
      <w:r w:rsidR="00AC3FBE">
        <w:t xml:space="preserve"> for</w:t>
      </w:r>
      <w:r w:rsidR="009A418C">
        <w:t xml:space="preserve"> communications with ESRT (No. 14-03043), communications regarding the ESBA Sublease (No. 14-03257</w:t>
      </w:r>
      <w:r w:rsidR="00C03117">
        <w:t>)</w:t>
      </w:r>
      <w:r w:rsidR="009A418C">
        <w:t>, and submissions received from ESRT deemed confidential (No. 14-03398).</w:t>
      </w:r>
    </w:p>
    <w:p w:rsidR="009A418C" w:rsidRDefault="009A418C" w:rsidP="004B14C0">
      <w:pPr>
        <w:pStyle w:val="ListParagraph"/>
        <w:numPr>
          <w:ilvl w:val="0"/>
          <w:numId w:val="1"/>
        </w:numPr>
        <w:spacing w:line="480" w:lineRule="auto"/>
        <w:ind w:left="0" w:firstLine="0"/>
      </w:pPr>
      <w:r>
        <w:t xml:space="preserve">No further response from SEC has been received regarding the three </w:t>
      </w:r>
      <w:r w:rsidR="000C14BB">
        <w:t xml:space="preserve">requests </w:t>
      </w:r>
      <w:r>
        <w:t xml:space="preserve">remanded </w:t>
      </w:r>
      <w:r w:rsidR="000C14BB">
        <w:t>on April 30, 2014, and more than twenty days has run since the remands were made.</w:t>
      </w:r>
    </w:p>
    <w:p w:rsidR="000C14BB" w:rsidRDefault="009A418C" w:rsidP="00BE3601">
      <w:pPr>
        <w:pStyle w:val="ListParagraph"/>
        <w:numPr>
          <w:ilvl w:val="0"/>
          <w:numId w:val="1"/>
        </w:numPr>
        <w:spacing w:line="480" w:lineRule="auto"/>
        <w:ind w:left="0" w:firstLine="0"/>
      </w:pPr>
      <w:r>
        <w:t xml:space="preserve">With respect to the request for communications between the SEC and other government offices (No. 14-06652), the SEC General Counsel on June 3, 2014, acknowledged that the failure to timely respond constituted a denial of the request, and indicated that he had instructed the FOIA Officer to process the request as expeditiously as possible. </w:t>
      </w:r>
    </w:p>
    <w:p w:rsidR="00BE3601" w:rsidRDefault="000C14BB" w:rsidP="00BE3601">
      <w:pPr>
        <w:pStyle w:val="ListParagraph"/>
        <w:numPr>
          <w:ilvl w:val="0"/>
          <w:numId w:val="1"/>
        </w:numPr>
        <w:spacing w:line="480" w:lineRule="auto"/>
        <w:ind w:left="0" w:firstLine="0"/>
      </w:pPr>
      <w:r>
        <w:t xml:space="preserve">With respect to the second appeal of the </w:t>
      </w:r>
      <w:r>
        <w:rPr>
          <w:i/>
        </w:rPr>
        <w:t>Glomar</w:t>
      </w:r>
      <w:r>
        <w:t xml:space="preserve"> response, the SEC General Counsel issued a remand on July 2, 2014.  Action in response to the remand has not yet been taken.</w:t>
      </w:r>
      <w:r w:rsidR="009A418C">
        <w:t xml:space="preserve"> </w:t>
      </w:r>
    </w:p>
    <w:p w:rsidR="00FE3BAE" w:rsidRDefault="00FE3BAE" w:rsidP="00FE3BAE">
      <w:pPr>
        <w:spacing w:line="480" w:lineRule="auto"/>
        <w:jc w:val="center"/>
        <w:rPr>
          <w:b/>
        </w:rPr>
      </w:pPr>
      <w:r>
        <w:rPr>
          <w:b/>
        </w:rPr>
        <w:t>CAUSE OF ACTION</w:t>
      </w:r>
    </w:p>
    <w:p w:rsidR="00FE3BAE" w:rsidRDefault="00FE3BAE" w:rsidP="00FE3BAE">
      <w:pPr>
        <w:pStyle w:val="ListParagraph"/>
        <w:numPr>
          <w:ilvl w:val="0"/>
          <w:numId w:val="1"/>
        </w:numPr>
        <w:spacing w:line="480" w:lineRule="auto"/>
        <w:ind w:left="0" w:firstLine="0"/>
      </w:pPr>
      <w:r>
        <w:t xml:space="preserve">Plaintiff </w:t>
      </w:r>
      <w:proofErr w:type="spellStart"/>
      <w:r>
        <w:t>realleges</w:t>
      </w:r>
      <w:proofErr w:type="spellEnd"/>
      <w:r>
        <w:t xml:space="preserve"> paragraphs 1-27.</w:t>
      </w:r>
    </w:p>
    <w:p w:rsidR="005418B6" w:rsidRDefault="00E45745" w:rsidP="00FE3BAE">
      <w:pPr>
        <w:pStyle w:val="ListParagraph"/>
        <w:numPr>
          <w:ilvl w:val="0"/>
          <w:numId w:val="1"/>
        </w:numPr>
        <w:spacing w:line="480" w:lineRule="auto"/>
        <w:ind w:left="0" w:firstLine="0"/>
      </w:pPr>
      <w:r>
        <w:t>The FOIA is a broad public disclosure statute.  Agencies are directed to implement the FOIA by publishing certain types of records.  They are also directed to adopt regulations describing the information they maintain and providing procedures for the public to access their records.  Section 552(a) of t</w:t>
      </w:r>
      <w:r w:rsidR="0077644F">
        <w:t>he FOIA</w:t>
      </w:r>
      <w:r w:rsidR="003B0AD0">
        <w:t xml:space="preserve"> requires government agencies to promptly make available to any person upon request the records it maintains, unless the agency finds that the requested information falls into one or more of the nine exemptions listed in Section 552(b) of the Act.</w:t>
      </w:r>
      <w:r>
        <w:t xml:space="preserve">  </w:t>
      </w:r>
      <w:r>
        <w:lastRenderedPageBreak/>
        <w:t xml:space="preserve">Agencies are required </w:t>
      </w:r>
      <w:r w:rsidR="003A678D">
        <w:t>by Section 552(a)(6)</w:t>
      </w:r>
      <w:r w:rsidR="005418B6">
        <w:t>(A)</w:t>
      </w:r>
      <w:r w:rsidR="003A678D">
        <w:t xml:space="preserve"> </w:t>
      </w:r>
      <w:r>
        <w:t>to respond to FOIA requests within ten days and are required to fully explain a</w:t>
      </w:r>
      <w:r w:rsidR="003A678D">
        <w:t>ny</w:t>
      </w:r>
      <w:r>
        <w:t xml:space="preserve"> determination to withhold information. </w:t>
      </w:r>
      <w:r w:rsidR="003A678D">
        <w:t xml:space="preserve"> </w:t>
      </w:r>
      <w:r w:rsidR="005418B6">
        <w:t xml:space="preserve">Section </w:t>
      </w:r>
      <w:r w:rsidR="000C14BB">
        <w:t>552(a</w:t>
      </w:r>
      <w:proofErr w:type="gramStart"/>
      <w:r w:rsidR="000C14BB">
        <w:t>)</w:t>
      </w:r>
      <w:r w:rsidR="005418B6">
        <w:t>(</w:t>
      </w:r>
      <w:proofErr w:type="gramEnd"/>
      <w:r w:rsidR="005418B6">
        <w:t xml:space="preserve">6)(B) allows an agency to extend the ten day response time by an additional ten days.  Appeals of agency denials to the head of the agency are to be concluded in twenty days.  </w:t>
      </w:r>
    </w:p>
    <w:p w:rsidR="0077644F" w:rsidRDefault="003A678D" w:rsidP="00FE3BAE">
      <w:pPr>
        <w:pStyle w:val="ListParagraph"/>
        <w:numPr>
          <w:ilvl w:val="0"/>
          <w:numId w:val="1"/>
        </w:numPr>
        <w:spacing w:line="480" w:lineRule="auto"/>
        <w:ind w:left="0" w:firstLine="0"/>
      </w:pPr>
      <w:r>
        <w:t>Section 552(a</w:t>
      </w:r>
      <w:proofErr w:type="gramStart"/>
      <w:r>
        <w:t>)(</w:t>
      </w:r>
      <w:proofErr w:type="gramEnd"/>
      <w:r>
        <w:t xml:space="preserve">4)(B) </w:t>
      </w:r>
      <w:r w:rsidR="005418B6">
        <w:t xml:space="preserve">of the FOIA </w:t>
      </w:r>
      <w:r>
        <w:t>provides for expedited judicial review of any failure to comply with the Act, and the assessment of attorney’s fees and potential penalties against an agency that violates the Act.</w:t>
      </w:r>
      <w:r w:rsidR="003B0AD0">
        <w:t xml:space="preserve">  </w:t>
      </w:r>
    </w:p>
    <w:p w:rsidR="00FE3BAE" w:rsidRDefault="00FE3BAE" w:rsidP="00FE3BAE">
      <w:pPr>
        <w:pStyle w:val="ListParagraph"/>
        <w:numPr>
          <w:ilvl w:val="0"/>
          <w:numId w:val="1"/>
        </w:numPr>
        <w:spacing w:line="480" w:lineRule="auto"/>
        <w:ind w:left="0" w:firstLine="0"/>
      </w:pPr>
      <w:r>
        <w:t xml:space="preserve">Defendant’s failure to produce the requested records within the time allowed by the FOIA and the SEC’s own regulations </w:t>
      </w:r>
      <w:r w:rsidR="008C303E">
        <w:t>constitutes six separate violations of the FOIA.</w:t>
      </w:r>
    </w:p>
    <w:p w:rsidR="00FE3BAE" w:rsidRDefault="00FE3BAE" w:rsidP="00FE3BAE">
      <w:pPr>
        <w:pStyle w:val="ListParagraph"/>
        <w:numPr>
          <w:ilvl w:val="0"/>
          <w:numId w:val="1"/>
        </w:numPr>
        <w:spacing w:line="480" w:lineRule="auto"/>
        <w:ind w:left="0" w:firstLine="0"/>
      </w:pPr>
      <w:r>
        <w:t xml:space="preserve">The SEC’s failure to provide </w:t>
      </w:r>
      <w:r w:rsidR="008C303E">
        <w:t>any</w:t>
      </w:r>
      <w:r>
        <w:t xml:space="preserve"> response </w:t>
      </w:r>
      <w:r w:rsidR="008C303E">
        <w:t xml:space="preserve">or explanation </w:t>
      </w:r>
      <w:r>
        <w:t xml:space="preserve">to </w:t>
      </w:r>
      <w:r w:rsidR="008C303E">
        <w:t xml:space="preserve">four of the </w:t>
      </w:r>
      <w:r>
        <w:t>six requests</w:t>
      </w:r>
      <w:r w:rsidR="008C303E">
        <w:t xml:space="preserve"> constitutes four additional violations of the FOIA.  Its responses to the two requests for which tardy explanations were given also do not comply with the Act’s requirements.</w:t>
      </w:r>
      <w:r>
        <w:t xml:space="preserve"> </w:t>
      </w:r>
    </w:p>
    <w:p w:rsidR="00BE3601" w:rsidRDefault="008C303E" w:rsidP="00BE3601">
      <w:pPr>
        <w:pStyle w:val="ListParagraph"/>
        <w:numPr>
          <w:ilvl w:val="0"/>
          <w:numId w:val="1"/>
        </w:numPr>
        <w:spacing w:line="480" w:lineRule="auto"/>
        <w:ind w:left="0" w:firstLine="0"/>
      </w:pPr>
      <w:r>
        <w:t xml:space="preserve">The </w:t>
      </w:r>
      <w:r w:rsidR="00BE3601">
        <w:t xml:space="preserve">SEC’s unjustified delays </w:t>
      </w:r>
      <w:r w:rsidR="0007104F">
        <w:t>are exceptionally egregious</w:t>
      </w:r>
      <w:r w:rsidR="00BE3601">
        <w:t>.  For example, a response to the first request (No. 14-03043) was due on February 4, 2014, the failure to respond was appealed on March 26, 2014, the matter was remanded on April 30, 2014, and still no response has been received</w:t>
      </w:r>
      <w:r w:rsidR="0007104F">
        <w:t xml:space="preserve"> after six months</w:t>
      </w:r>
      <w:r w:rsidR="00BE3601">
        <w:t xml:space="preserve">. A similar pattern of unexplained failure to respond, appeal, remand, and continued failure to respond was repeated with respect to the second request, No. 14-03257.  A response to the third request, No. 14-03398, was due on February 10, 2014, and, following an appeal for failure to respond on time, the agency provided on April 29, 2014—78 days after a response was due—a determination that the SEC did not have any records within the scope of the request.  No response has been received for four of the </w:t>
      </w:r>
      <w:r w:rsidR="0007104F">
        <w:t xml:space="preserve">six </w:t>
      </w:r>
      <w:r w:rsidR="00BE3601">
        <w:t>requests despite lengthy delays and appeals to the agency head.</w:t>
      </w:r>
    </w:p>
    <w:p w:rsidR="00FE3BAE" w:rsidRDefault="00FE3BAE" w:rsidP="00FE3BAE">
      <w:pPr>
        <w:pStyle w:val="ListParagraph"/>
        <w:numPr>
          <w:ilvl w:val="0"/>
          <w:numId w:val="1"/>
        </w:numPr>
        <w:spacing w:line="480" w:lineRule="auto"/>
        <w:ind w:left="0" w:firstLine="0"/>
      </w:pPr>
      <w:r>
        <w:lastRenderedPageBreak/>
        <w:t xml:space="preserve">The SEC’s </w:t>
      </w:r>
      <w:r w:rsidRPr="00C03117">
        <w:rPr>
          <w:i/>
        </w:rPr>
        <w:t>Glomar</w:t>
      </w:r>
      <w:r>
        <w:t xml:space="preserve"> response to Request No. 14-03452 does not comply with the FOIA.  </w:t>
      </w:r>
      <w:r w:rsidRPr="00FE3BAE">
        <w:t xml:space="preserve">A </w:t>
      </w:r>
      <w:r w:rsidRPr="00FE3BAE">
        <w:rPr>
          <w:i/>
        </w:rPr>
        <w:t>Glomar</w:t>
      </w:r>
      <w:r w:rsidRPr="00FE3BAE">
        <w:t xml:space="preserve"> response is not a magic wand that can be waved to afford an exemption from the FOIA whenever the agency decides that disclosure of documents might be entitled to one or more FOIA exemptions.  Rather, if an agency contends that even acknowledgement of the existence of requested records would impair its official functions, it must identify the function that would be impaired and explain how the release of the requested information would impair that function.  As explained in </w:t>
      </w:r>
      <w:r w:rsidRPr="00FE3BAE">
        <w:rPr>
          <w:u w:val="single"/>
        </w:rPr>
        <w:t xml:space="preserve">People for the Ethical Treatment of Animals v. Nat'l </w:t>
      </w:r>
      <w:proofErr w:type="spellStart"/>
      <w:r w:rsidRPr="00FE3BAE">
        <w:rPr>
          <w:u w:val="single"/>
        </w:rPr>
        <w:t>Insts</w:t>
      </w:r>
      <w:proofErr w:type="spellEnd"/>
      <w:r w:rsidRPr="00FE3BAE">
        <w:rPr>
          <w:u w:val="single"/>
        </w:rPr>
        <w:t xml:space="preserve">. </w:t>
      </w:r>
      <w:proofErr w:type="gramStart"/>
      <w:r w:rsidR="00C03117">
        <w:rPr>
          <w:u w:val="single"/>
        </w:rPr>
        <w:t>o</w:t>
      </w:r>
      <w:r w:rsidRPr="00FE3BAE">
        <w:rPr>
          <w:u w:val="single"/>
        </w:rPr>
        <w:t>f</w:t>
      </w:r>
      <w:proofErr w:type="gramEnd"/>
      <w:r w:rsidR="00C03117">
        <w:rPr>
          <w:u w:val="single"/>
        </w:rPr>
        <w:t xml:space="preserve"> </w:t>
      </w:r>
      <w:r w:rsidRPr="00FE3BAE">
        <w:rPr>
          <w:u w:val="single"/>
        </w:rPr>
        <w:t>Health,</w:t>
      </w:r>
      <w:r w:rsidRPr="00FE3BAE">
        <w:t xml:space="preserve"> D. C. Cir. No. 12-5183, Slip Op. at 7 (D.C. Cir. 2014), when an agency invokes a </w:t>
      </w:r>
      <w:r w:rsidRPr="00FE3BAE">
        <w:rPr>
          <w:i/>
        </w:rPr>
        <w:t>Glomar</w:t>
      </w:r>
      <w:r w:rsidRPr="00FE3BAE">
        <w:t xml:space="preserve"> defense it must still provide "reasonable specificity of detail rather than merely conclusory statements" to justify the response. </w:t>
      </w:r>
      <w:r w:rsidR="0007104F">
        <w:rPr>
          <w:i/>
        </w:rPr>
        <w:t>Citing</w:t>
      </w:r>
      <w:r w:rsidRPr="00FE3BAE">
        <w:t xml:space="preserve"> </w:t>
      </w:r>
      <w:r w:rsidRPr="00FE3BAE">
        <w:rPr>
          <w:u w:val="single"/>
        </w:rPr>
        <w:t>Elec. Privacy Info. Ctr. v. Nat'l Sec. Agency</w:t>
      </w:r>
      <w:r w:rsidRPr="00FE3BAE">
        <w:t xml:space="preserve">, 678 F.3d 926, 931 (D.C. Cir. 2012).  If there are categories of documents within the scope of a request for which a </w:t>
      </w:r>
      <w:r w:rsidRPr="00FE3BAE">
        <w:rPr>
          <w:i/>
        </w:rPr>
        <w:t>Glomar</w:t>
      </w:r>
      <w:r w:rsidRPr="00FE3BAE">
        <w:t xml:space="preserve"> response is inappropriate, then the agency must separate those documents and make them available</w:t>
      </w:r>
      <w:r w:rsidR="00DB547B">
        <w:t xml:space="preserve"> and explain why other documents are withheld.</w:t>
      </w:r>
      <w:r w:rsidR="0007104F">
        <w:t xml:space="preserve">  In issuing its </w:t>
      </w:r>
      <w:r w:rsidR="0007104F">
        <w:rPr>
          <w:i/>
        </w:rPr>
        <w:t>Glomar</w:t>
      </w:r>
      <w:r w:rsidR="0007104F">
        <w:t xml:space="preserve"> response, the SEC has ignored these requirements.</w:t>
      </w:r>
      <w:bookmarkStart w:id="0" w:name="_GoBack"/>
      <w:bookmarkEnd w:id="0"/>
    </w:p>
    <w:p w:rsidR="00FE3BAE" w:rsidRDefault="00FE3BAE" w:rsidP="00FE3BAE">
      <w:pPr>
        <w:pStyle w:val="ListParagraph"/>
        <w:numPr>
          <w:ilvl w:val="0"/>
          <w:numId w:val="1"/>
        </w:numPr>
        <w:spacing w:line="480" w:lineRule="auto"/>
        <w:ind w:left="0" w:firstLine="0"/>
      </w:pPr>
      <w:r>
        <w:t>Mr. Edelman has fully exhausted his administrative remedies</w:t>
      </w:r>
      <w:r w:rsidR="008314B3">
        <w:t xml:space="preserve"> with respect to each of the six requests</w:t>
      </w:r>
      <w:r>
        <w:t>.</w:t>
      </w:r>
    </w:p>
    <w:p w:rsidR="008314B3" w:rsidRDefault="008314B3" w:rsidP="008314B3">
      <w:pPr>
        <w:autoSpaceDE w:val="0"/>
        <w:autoSpaceDN w:val="0"/>
        <w:adjustRightInd w:val="0"/>
        <w:spacing w:line="245" w:lineRule="exact"/>
        <w:ind w:left="40" w:right="-20"/>
      </w:pPr>
      <w:r>
        <w:rPr>
          <w:w w:val="105"/>
        </w:rPr>
        <w:tab/>
      </w:r>
      <w:r w:rsidRPr="008314B3">
        <w:rPr>
          <w:b/>
          <w:w w:val="105"/>
        </w:rPr>
        <w:t>WHEREFORE</w:t>
      </w:r>
      <w:r>
        <w:rPr>
          <w:w w:val="105"/>
        </w:rPr>
        <w:t>,</w:t>
      </w:r>
      <w:r>
        <w:rPr>
          <w:spacing w:val="-2"/>
          <w:w w:val="105"/>
        </w:rPr>
        <w:t xml:space="preserve"> </w:t>
      </w:r>
      <w:r>
        <w:t>plaintiff</w:t>
      </w:r>
      <w:r>
        <w:rPr>
          <w:spacing w:val="-6"/>
        </w:rPr>
        <w:t xml:space="preserve"> </w:t>
      </w:r>
      <w:r>
        <w:rPr>
          <w:w w:val="96"/>
        </w:rPr>
        <w:t>prays</w:t>
      </w:r>
      <w:r>
        <w:rPr>
          <w:spacing w:val="-2"/>
          <w:w w:val="96"/>
        </w:rPr>
        <w:t xml:space="preserve"> </w:t>
      </w:r>
      <w:r>
        <w:t>that</w:t>
      </w:r>
      <w:r>
        <w:rPr>
          <w:spacing w:val="-4"/>
        </w:rPr>
        <w:t xml:space="preserve"> </w:t>
      </w:r>
      <w:r>
        <w:t>this</w:t>
      </w:r>
      <w:r>
        <w:rPr>
          <w:spacing w:val="-3"/>
        </w:rPr>
        <w:t xml:space="preserve"> </w:t>
      </w:r>
      <w:r>
        <w:t>Court:</w:t>
      </w:r>
    </w:p>
    <w:p w:rsidR="008314B3" w:rsidRDefault="008314B3" w:rsidP="008314B3">
      <w:pPr>
        <w:autoSpaceDE w:val="0"/>
        <w:autoSpaceDN w:val="0"/>
        <w:adjustRightInd w:val="0"/>
        <w:spacing w:line="245" w:lineRule="exact"/>
        <w:ind w:left="40" w:right="-20"/>
      </w:pPr>
    </w:p>
    <w:p w:rsidR="008314B3" w:rsidRDefault="008314B3" w:rsidP="008314B3">
      <w:pPr>
        <w:autoSpaceDE w:val="0"/>
        <w:autoSpaceDN w:val="0"/>
        <w:adjustRightInd w:val="0"/>
        <w:spacing w:line="480" w:lineRule="auto"/>
        <w:ind w:firstLine="720"/>
      </w:pPr>
      <w:r>
        <w:t xml:space="preserve">(1)     </w:t>
      </w:r>
      <w:r>
        <w:rPr>
          <w:spacing w:val="51"/>
        </w:rPr>
        <w:t xml:space="preserve"> </w:t>
      </w:r>
      <w:r>
        <w:t xml:space="preserve">Declare that Defendant has violated the FOIA by </w:t>
      </w:r>
      <w:r w:rsidR="00C03117">
        <w:t>failing</w:t>
      </w:r>
      <w:r>
        <w:t xml:space="preserve"> to produce the requested documents to Plaintiff;</w:t>
      </w:r>
    </w:p>
    <w:p w:rsidR="008314B3" w:rsidRDefault="008314B3" w:rsidP="008314B3">
      <w:pPr>
        <w:autoSpaceDE w:val="0"/>
        <w:autoSpaceDN w:val="0"/>
        <w:adjustRightInd w:val="0"/>
        <w:spacing w:line="100" w:lineRule="exact"/>
        <w:rPr>
          <w:sz w:val="10"/>
          <w:szCs w:val="10"/>
        </w:rPr>
      </w:pPr>
    </w:p>
    <w:p w:rsidR="008314B3" w:rsidRDefault="008314B3" w:rsidP="000F096E">
      <w:pPr>
        <w:autoSpaceDE w:val="0"/>
        <w:autoSpaceDN w:val="0"/>
        <w:adjustRightInd w:val="0"/>
        <w:spacing w:line="480" w:lineRule="auto"/>
        <w:ind w:firstLine="720"/>
      </w:pPr>
      <w:r>
        <w:t>(2</w:t>
      </w:r>
      <w:r w:rsidR="000F096E">
        <w:t xml:space="preserve">) </w:t>
      </w:r>
      <w:r w:rsidR="000F096E">
        <w:tab/>
        <w:t xml:space="preserve">Order the Defendant to make all of the requested records </w:t>
      </w:r>
      <w:r w:rsidR="00DB547B">
        <w:t>promptly</w:t>
      </w:r>
      <w:r w:rsidR="000F096E">
        <w:t xml:space="preserve"> available to Plaintiff;</w:t>
      </w:r>
    </w:p>
    <w:p w:rsidR="008314B3" w:rsidRDefault="000F096E" w:rsidP="000F096E">
      <w:pPr>
        <w:autoSpaceDE w:val="0"/>
        <w:autoSpaceDN w:val="0"/>
        <w:adjustRightInd w:val="0"/>
        <w:spacing w:line="480" w:lineRule="auto"/>
      </w:pPr>
      <w:r>
        <w:tab/>
        <w:t>(3)</w:t>
      </w:r>
      <w:r>
        <w:tab/>
        <w:t xml:space="preserve">To the extent the Court finds that any of the requested records </w:t>
      </w:r>
      <w:r w:rsidR="00DB547B">
        <w:t>is</w:t>
      </w:r>
      <w:r>
        <w:t xml:space="preserve"> subject to an exemption, order the Defendant to produce </w:t>
      </w:r>
      <w:r w:rsidR="00DB547B">
        <w:t xml:space="preserve">reasonably </w:t>
      </w:r>
      <w:proofErr w:type="spellStart"/>
      <w:r>
        <w:t>segregable</w:t>
      </w:r>
      <w:proofErr w:type="spellEnd"/>
      <w:r>
        <w:t xml:space="preserve"> records or </w:t>
      </w:r>
      <w:r w:rsidR="00DB547B">
        <w:t>portions of records</w:t>
      </w:r>
      <w:r>
        <w:t xml:space="preserve"> </w:t>
      </w:r>
      <w:r>
        <w:lastRenderedPageBreak/>
        <w:t xml:space="preserve">and </w:t>
      </w:r>
      <w:r w:rsidR="00DB547B">
        <w:t xml:space="preserve">to provide </w:t>
      </w:r>
      <w:r>
        <w:t xml:space="preserve">an adequate explanation of the basis for its decision not to disclose the </w:t>
      </w:r>
      <w:r w:rsidR="00F02D12">
        <w:t xml:space="preserve">withheld </w:t>
      </w:r>
      <w:r>
        <w:t>information;</w:t>
      </w:r>
    </w:p>
    <w:p w:rsidR="008314B3" w:rsidRDefault="00DB547B" w:rsidP="00DB547B">
      <w:pPr>
        <w:autoSpaceDE w:val="0"/>
        <w:autoSpaceDN w:val="0"/>
        <w:adjustRightInd w:val="0"/>
        <w:spacing w:line="480" w:lineRule="auto"/>
      </w:pPr>
      <w:r>
        <w:tab/>
      </w:r>
      <w:r w:rsidR="008314B3">
        <w:t xml:space="preserve">(4)     </w:t>
      </w:r>
      <w:r w:rsidR="008314B3">
        <w:rPr>
          <w:spacing w:val="58"/>
        </w:rPr>
        <w:t xml:space="preserve"> </w:t>
      </w:r>
      <w:r w:rsidR="008314B3">
        <w:rPr>
          <w:w w:val="96"/>
        </w:rPr>
        <w:t>Award</w:t>
      </w:r>
      <w:r w:rsidR="008314B3">
        <w:rPr>
          <w:spacing w:val="3"/>
          <w:w w:val="96"/>
        </w:rPr>
        <w:t xml:space="preserve"> P</w:t>
      </w:r>
      <w:r w:rsidR="008314B3">
        <w:t>laintiff</w:t>
      </w:r>
      <w:r w:rsidR="008314B3">
        <w:rPr>
          <w:spacing w:val="-1"/>
        </w:rPr>
        <w:t xml:space="preserve"> </w:t>
      </w:r>
      <w:r w:rsidR="008314B3">
        <w:t>its</w:t>
      </w:r>
      <w:r w:rsidR="008314B3">
        <w:rPr>
          <w:spacing w:val="-3"/>
        </w:rPr>
        <w:t xml:space="preserve"> </w:t>
      </w:r>
      <w:r w:rsidR="008314B3">
        <w:t>costs</w:t>
      </w:r>
      <w:r w:rsidR="008314B3">
        <w:rPr>
          <w:spacing w:val="-10"/>
        </w:rPr>
        <w:t xml:space="preserve"> </w:t>
      </w:r>
      <w:r w:rsidR="008314B3">
        <w:t>and</w:t>
      </w:r>
      <w:r w:rsidR="008314B3">
        <w:rPr>
          <w:spacing w:val="-5"/>
        </w:rPr>
        <w:t xml:space="preserve"> </w:t>
      </w:r>
      <w:r w:rsidR="008314B3">
        <w:t>reasonable</w:t>
      </w:r>
      <w:r w:rsidR="008314B3">
        <w:rPr>
          <w:spacing w:val="-23"/>
        </w:rPr>
        <w:t xml:space="preserve"> </w:t>
      </w:r>
      <w:r w:rsidR="008314B3">
        <w:t>attorneys'</w:t>
      </w:r>
      <w:r w:rsidR="008314B3">
        <w:rPr>
          <w:spacing w:val="22"/>
        </w:rPr>
        <w:t xml:space="preserve"> </w:t>
      </w:r>
      <w:r w:rsidR="008314B3">
        <w:t>fees</w:t>
      </w:r>
      <w:r w:rsidR="008314B3">
        <w:rPr>
          <w:spacing w:val="-16"/>
        </w:rPr>
        <w:t xml:space="preserve"> </w:t>
      </w:r>
      <w:r>
        <w:rPr>
          <w:spacing w:val="-16"/>
        </w:rPr>
        <w:t xml:space="preserve">incurred </w:t>
      </w:r>
      <w:r w:rsidR="008314B3">
        <w:t>in</w:t>
      </w:r>
      <w:r w:rsidR="008314B3">
        <w:rPr>
          <w:spacing w:val="-5"/>
        </w:rPr>
        <w:t xml:space="preserve"> </w:t>
      </w:r>
      <w:r w:rsidR="008314B3">
        <w:t>this</w:t>
      </w:r>
      <w:r w:rsidR="008314B3">
        <w:rPr>
          <w:spacing w:val="-3"/>
        </w:rPr>
        <w:t xml:space="preserve"> </w:t>
      </w:r>
      <w:r w:rsidR="008314B3">
        <w:rPr>
          <w:w w:val="97"/>
        </w:rPr>
        <w:t>action;</w:t>
      </w:r>
      <w:r w:rsidR="008314B3">
        <w:rPr>
          <w:spacing w:val="2"/>
        </w:rPr>
        <w:t xml:space="preserve"> </w:t>
      </w:r>
      <w:r w:rsidR="008314B3">
        <w:t>and</w:t>
      </w:r>
    </w:p>
    <w:p w:rsidR="008314B3" w:rsidRDefault="008314B3" w:rsidP="008314B3">
      <w:pPr>
        <w:autoSpaceDE w:val="0"/>
        <w:autoSpaceDN w:val="0"/>
        <w:adjustRightInd w:val="0"/>
        <w:ind w:firstLine="720"/>
      </w:pPr>
      <w:r>
        <w:t xml:space="preserve">(6)     </w:t>
      </w:r>
      <w:r>
        <w:rPr>
          <w:spacing w:val="58"/>
        </w:rPr>
        <w:t xml:space="preserve"> </w:t>
      </w:r>
      <w:r>
        <w:t>Grant</w:t>
      </w:r>
      <w:r>
        <w:rPr>
          <w:spacing w:val="-15"/>
        </w:rPr>
        <w:t xml:space="preserve"> </w:t>
      </w:r>
      <w:r>
        <w:t>such</w:t>
      </w:r>
      <w:r>
        <w:rPr>
          <w:spacing w:val="-4"/>
        </w:rPr>
        <w:t xml:space="preserve"> </w:t>
      </w:r>
      <w:r>
        <w:t>other</w:t>
      </w:r>
      <w:r>
        <w:rPr>
          <w:spacing w:val="-1"/>
        </w:rPr>
        <w:t xml:space="preserve"> </w:t>
      </w:r>
      <w:r>
        <w:t>and</w:t>
      </w:r>
      <w:r>
        <w:rPr>
          <w:spacing w:val="2"/>
        </w:rPr>
        <w:t xml:space="preserve"> </w:t>
      </w:r>
      <w:r>
        <w:t>further</w:t>
      </w:r>
      <w:r>
        <w:rPr>
          <w:spacing w:val="-21"/>
        </w:rPr>
        <w:t xml:space="preserve"> </w:t>
      </w:r>
      <w:r>
        <w:t>relief</w:t>
      </w:r>
      <w:r>
        <w:rPr>
          <w:spacing w:val="-15"/>
        </w:rPr>
        <w:t xml:space="preserve"> </w:t>
      </w:r>
      <w:r>
        <w:t>as</w:t>
      </w:r>
      <w:r>
        <w:rPr>
          <w:spacing w:val="3"/>
        </w:rPr>
        <w:t xml:space="preserve"> </w:t>
      </w:r>
      <w:r>
        <w:t>the</w:t>
      </w:r>
      <w:r>
        <w:rPr>
          <w:spacing w:val="-10"/>
        </w:rPr>
        <w:t xml:space="preserve"> </w:t>
      </w:r>
      <w:r>
        <w:t>Court</w:t>
      </w:r>
      <w:r>
        <w:rPr>
          <w:spacing w:val="-2"/>
        </w:rPr>
        <w:t xml:space="preserve"> </w:t>
      </w:r>
      <w:r>
        <w:t>may</w:t>
      </w:r>
      <w:r>
        <w:rPr>
          <w:spacing w:val="-7"/>
        </w:rPr>
        <w:t xml:space="preserve"> </w:t>
      </w:r>
      <w:r>
        <w:t>deem</w:t>
      </w:r>
      <w:r>
        <w:rPr>
          <w:spacing w:val="-10"/>
        </w:rPr>
        <w:t xml:space="preserve"> </w:t>
      </w:r>
      <w:r>
        <w:t>just</w:t>
      </w:r>
      <w:r>
        <w:rPr>
          <w:spacing w:val="-17"/>
        </w:rPr>
        <w:t xml:space="preserve"> </w:t>
      </w:r>
      <w:r>
        <w:t>and</w:t>
      </w:r>
      <w:r>
        <w:rPr>
          <w:spacing w:val="-3"/>
        </w:rPr>
        <w:t xml:space="preserve"> </w:t>
      </w:r>
      <w:r>
        <w:t>proper.</w:t>
      </w:r>
    </w:p>
    <w:p w:rsidR="008314B3" w:rsidRDefault="008314B3" w:rsidP="008314B3">
      <w:pPr>
        <w:autoSpaceDE w:val="0"/>
        <w:autoSpaceDN w:val="0"/>
        <w:adjustRightInd w:val="0"/>
        <w:ind w:firstLine="720"/>
      </w:pPr>
    </w:p>
    <w:p w:rsidR="008314B3" w:rsidRDefault="008314B3" w:rsidP="008314B3">
      <w:pPr>
        <w:autoSpaceDE w:val="0"/>
        <w:autoSpaceDN w:val="0"/>
        <w:adjustRightInd w:val="0"/>
        <w:ind w:firstLine="720"/>
      </w:pPr>
      <w:r>
        <w:tab/>
      </w:r>
      <w:r>
        <w:tab/>
      </w:r>
      <w:r>
        <w:tab/>
      </w:r>
      <w:r>
        <w:tab/>
      </w:r>
      <w:r>
        <w:tab/>
      </w:r>
      <w:r>
        <w:tab/>
        <w:t>Respectfully submitted,</w:t>
      </w:r>
    </w:p>
    <w:p w:rsidR="00C03117" w:rsidRDefault="00C03117" w:rsidP="008314B3">
      <w:pPr>
        <w:autoSpaceDE w:val="0"/>
        <w:autoSpaceDN w:val="0"/>
        <w:adjustRightInd w:val="0"/>
        <w:ind w:firstLine="720"/>
      </w:pPr>
    </w:p>
    <w:p w:rsidR="008314B3" w:rsidRDefault="008314B3" w:rsidP="008314B3">
      <w:pPr>
        <w:autoSpaceDE w:val="0"/>
        <w:autoSpaceDN w:val="0"/>
        <w:adjustRightInd w:val="0"/>
        <w:ind w:firstLine="720"/>
      </w:pPr>
    </w:p>
    <w:p w:rsidR="008314B3" w:rsidRDefault="008314B3" w:rsidP="008314B3">
      <w:pPr>
        <w:autoSpaceDE w:val="0"/>
        <w:autoSpaceDN w:val="0"/>
        <w:adjustRightInd w:val="0"/>
        <w:ind w:firstLine="720"/>
      </w:pPr>
      <w:r>
        <w:tab/>
      </w:r>
      <w:r>
        <w:tab/>
      </w:r>
      <w:r>
        <w:tab/>
      </w:r>
      <w:r>
        <w:tab/>
      </w:r>
      <w:r>
        <w:tab/>
      </w:r>
      <w:r>
        <w:tab/>
        <w:t>___________________________</w:t>
      </w:r>
      <w:r>
        <w:tab/>
      </w:r>
    </w:p>
    <w:p w:rsidR="008314B3" w:rsidRDefault="008314B3" w:rsidP="008314B3">
      <w:pPr>
        <w:autoSpaceDE w:val="0"/>
        <w:autoSpaceDN w:val="0"/>
        <w:adjustRightInd w:val="0"/>
        <w:ind w:firstLine="720"/>
      </w:pPr>
      <w:r>
        <w:tab/>
      </w:r>
      <w:r>
        <w:tab/>
      </w:r>
      <w:r>
        <w:tab/>
      </w:r>
      <w:r>
        <w:tab/>
      </w:r>
      <w:r>
        <w:tab/>
      </w:r>
      <w:r>
        <w:tab/>
        <w:t xml:space="preserve">John Wyeth Griggs, DC </w:t>
      </w:r>
      <w:proofErr w:type="gramStart"/>
      <w:r>
        <w:t>Bar</w:t>
      </w:r>
      <w:proofErr w:type="gramEnd"/>
      <w:r>
        <w:t xml:space="preserve"> No. 185426</w:t>
      </w:r>
    </w:p>
    <w:p w:rsidR="008314B3" w:rsidRDefault="008314B3" w:rsidP="008314B3">
      <w:pPr>
        <w:autoSpaceDE w:val="0"/>
        <w:autoSpaceDN w:val="0"/>
        <w:adjustRightInd w:val="0"/>
        <w:ind w:firstLine="720"/>
      </w:pPr>
      <w:r>
        <w:tab/>
      </w:r>
      <w:r>
        <w:tab/>
      </w:r>
      <w:r>
        <w:tab/>
      </w:r>
      <w:r>
        <w:tab/>
      </w:r>
      <w:r>
        <w:tab/>
      </w:r>
      <w:r>
        <w:tab/>
        <w:t xml:space="preserve">Debra B. Adler, DC </w:t>
      </w:r>
      <w:proofErr w:type="gramStart"/>
      <w:r>
        <w:t>Bar</w:t>
      </w:r>
      <w:proofErr w:type="gramEnd"/>
      <w:r>
        <w:t xml:space="preserve"> No.</w:t>
      </w:r>
      <w:r w:rsidR="00DB547B">
        <w:t xml:space="preserve"> 422639</w:t>
      </w:r>
    </w:p>
    <w:p w:rsidR="008314B3" w:rsidRDefault="008314B3" w:rsidP="008314B3">
      <w:pPr>
        <w:autoSpaceDE w:val="0"/>
        <w:autoSpaceDN w:val="0"/>
        <w:adjustRightInd w:val="0"/>
        <w:ind w:firstLine="720"/>
      </w:pPr>
      <w:r>
        <w:tab/>
      </w:r>
      <w:r>
        <w:tab/>
      </w:r>
      <w:r>
        <w:tab/>
      </w:r>
      <w:r>
        <w:tab/>
      </w:r>
      <w:r>
        <w:tab/>
      </w:r>
      <w:r>
        <w:tab/>
      </w:r>
      <w:proofErr w:type="gramStart"/>
      <w:r>
        <w:t>Griggs &amp; Adler, P.C.</w:t>
      </w:r>
      <w:proofErr w:type="gramEnd"/>
    </w:p>
    <w:p w:rsidR="008314B3" w:rsidRDefault="008314B3" w:rsidP="008314B3">
      <w:pPr>
        <w:autoSpaceDE w:val="0"/>
        <w:autoSpaceDN w:val="0"/>
        <w:adjustRightInd w:val="0"/>
        <w:ind w:firstLine="720"/>
      </w:pPr>
      <w:r>
        <w:tab/>
      </w:r>
      <w:r>
        <w:tab/>
      </w:r>
      <w:r>
        <w:tab/>
      </w:r>
      <w:r>
        <w:tab/>
      </w:r>
      <w:r>
        <w:tab/>
      </w:r>
      <w:r>
        <w:tab/>
        <w:t>12020 Sunrise Valley Drive, Ste. 100</w:t>
      </w:r>
    </w:p>
    <w:p w:rsidR="008314B3" w:rsidRDefault="008314B3" w:rsidP="008314B3">
      <w:pPr>
        <w:autoSpaceDE w:val="0"/>
        <w:autoSpaceDN w:val="0"/>
        <w:adjustRightInd w:val="0"/>
        <w:ind w:firstLine="720"/>
      </w:pPr>
      <w:r>
        <w:tab/>
      </w:r>
      <w:r>
        <w:tab/>
      </w:r>
      <w:r>
        <w:tab/>
      </w:r>
      <w:r>
        <w:tab/>
      </w:r>
      <w:r>
        <w:tab/>
      </w:r>
      <w:r>
        <w:tab/>
        <w:t>Reston, VA 20191</w:t>
      </w:r>
      <w:r w:rsidR="00C03117">
        <w:tab/>
      </w:r>
    </w:p>
    <w:p w:rsidR="00C03117" w:rsidRDefault="00C03117" w:rsidP="008314B3">
      <w:pPr>
        <w:autoSpaceDE w:val="0"/>
        <w:autoSpaceDN w:val="0"/>
        <w:adjustRightInd w:val="0"/>
        <w:ind w:firstLine="720"/>
      </w:pPr>
      <w:r>
        <w:tab/>
      </w:r>
      <w:r>
        <w:tab/>
      </w:r>
      <w:r>
        <w:tab/>
      </w:r>
      <w:r>
        <w:tab/>
      </w:r>
      <w:r>
        <w:tab/>
      </w:r>
      <w:r>
        <w:tab/>
        <w:t>(703)86</w:t>
      </w:r>
      <w:r w:rsidR="00DB547B">
        <w:t>0</w:t>
      </w:r>
      <w:r>
        <w:t>-6315</w:t>
      </w:r>
    </w:p>
    <w:p w:rsidR="00C03117" w:rsidRDefault="00C03117" w:rsidP="008314B3">
      <w:pPr>
        <w:autoSpaceDE w:val="0"/>
        <w:autoSpaceDN w:val="0"/>
        <w:adjustRightInd w:val="0"/>
        <w:ind w:firstLine="720"/>
      </w:pPr>
      <w:r>
        <w:tab/>
      </w:r>
      <w:r>
        <w:tab/>
      </w:r>
      <w:r>
        <w:tab/>
      </w:r>
      <w:r>
        <w:tab/>
      </w:r>
      <w:r>
        <w:tab/>
      </w:r>
      <w:r>
        <w:tab/>
        <w:t>FAX (703)716-2865</w:t>
      </w:r>
    </w:p>
    <w:p w:rsidR="00C03117" w:rsidRDefault="00C03117" w:rsidP="008314B3">
      <w:pPr>
        <w:autoSpaceDE w:val="0"/>
        <w:autoSpaceDN w:val="0"/>
        <w:adjustRightInd w:val="0"/>
        <w:ind w:firstLine="720"/>
      </w:pPr>
      <w:r>
        <w:tab/>
      </w:r>
      <w:r>
        <w:tab/>
      </w:r>
      <w:r>
        <w:tab/>
      </w:r>
      <w:r>
        <w:tab/>
      </w:r>
      <w:r>
        <w:tab/>
      </w:r>
      <w:r>
        <w:tab/>
      </w:r>
      <w:hyperlink r:id="rId8" w:history="1">
        <w:r w:rsidRPr="007C6FD9">
          <w:rPr>
            <w:rStyle w:val="Hyperlink"/>
          </w:rPr>
          <w:t>griggsandadler@comcast.net</w:t>
        </w:r>
      </w:hyperlink>
      <w:r>
        <w:t xml:space="preserve"> </w:t>
      </w:r>
    </w:p>
    <w:sectPr w:rsidR="00C03117" w:rsidSect="006A5F4D">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8CD" w:rsidRDefault="00A138CD" w:rsidP="006A5F4D">
      <w:r>
        <w:separator/>
      </w:r>
    </w:p>
  </w:endnote>
  <w:endnote w:type="continuationSeparator" w:id="0">
    <w:p w:rsidR="00A138CD" w:rsidRDefault="00A138CD" w:rsidP="006A5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259859"/>
      <w:docPartObj>
        <w:docPartGallery w:val="Page Numbers (Bottom of Page)"/>
        <w:docPartUnique/>
      </w:docPartObj>
    </w:sdtPr>
    <w:sdtEndPr>
      <w:rPr>
        <w:noProof/>
      </w:rPr>
    </w:sdtEndPr>
    <w:sdtContent>
      <w:p w:rsidR="006A5F4D" w:rsidRDefault="006A5F4D">
        <w:pPr>
          <w:pStyle w:val="Footer"/>
          <w:jc w:val="center"/>
        </w:pPr>
        <w:r>
          <w:fldChar w:fldCharType="begin"/>
        </w:r>
        <w:r>
          <w:instrText xml:space="preserve"> PAGE   \* MERGEFORMAT </w:instrText>
        </w:r>
        <w:r>
          <w:fldChar w:fldCharType="separate"/>
        </w:r>
        <w:r w:rsidR="0007104F">
          <w:rPr>
            <w:noProof/>
          </w:rPr>
          <w:t>9</w:t>
        </w:r>
        <w:r>
          <w:rPr>
            <w:noProof/>
          </w:rPr>
          <w:fldChar w:fldCharType="end"/>
        </w:r>
      </w:p>
    </w:sdtContent>
  </w:sdt>
  <w:p w:rsidR="006A5F4D" w:rsidRDefault="006A5F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8CD" w:rsidRDefault="00A138CD" w:rsidP="006A5F4D">
      <w:r>
        <w:separator/>
      </w:r>
    </w:p>
  </w:footnote>
  <w:footnote w:type="continuationSeparator" w:id="0">
    <w:p w:rsidR="00A138CD" w:rsidRDefault="00A138CD" w:rsidP="006A5F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A5E5D"/>
    <w:multiLevelType w:val="hybridMultilevel"/>
    <w:tmpl w:val="48C04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EE5"/>
    <w:rsid w:val="00065BED"/>
    <w:rsid w:val="000700F4"/>
    <w:rsid w:val="0007104F"/>
    <w:rsid w:val="000C14BB"/>
    <w:rsid w:val="000F096E"/>
    <w:rsid w:val="001E7EC0"/>
    <w:rsid w:val="00225934"/>
    <w:rsid w:val="0023736D"/>
    <w:rsid w:val="00290962"/>
    <w:rsid w:val="003A4EE5"/>
    <w:rsid w:val="003A678D"/>
    <w:rsid w:val="003B0AD0"/>
    <w:rsid w:val="003F73C6"/>
    <w:rsid w:val="00416747"/>
    <w:rsid w:val="004B14C0"/>
    <w:rsid w:val="005418B6"/>
    <w:rsid w:val="005722B3"/>
    <w:rsid w:val="005D195E"/>
    <w:rsid w:val="005D51E8"/>
    <w:rsid w:val="006A5F4D"/>
    <w:rsid w:val="00726457"/>
    <w:rsid w:val="00742CCF"/>
    <w:rsid w:val="00751D72"/>
    <w:rsid w:val="0077644F"/>
    <w:rsid w:val="007D0E32"/>
    <w:rsid w:val="008314B3"/>
    <w:rsid w:val="0084792C"/>
    <w:rsid w:val="008C303E"/>
    <w:rsid w:val="009A418C"/>
    <w:rsid w:val="00A138CD"/>
    <w:rsid w:val="00A20F9E"/>
    <w:rsid w:val="00A45372"/>
    <w:rsid w:val="00A8186F"/>
    <w:rsid w:val="00AB74C7"/>
    <w:rsid w:val="00AC3FBE"/>
    <w:rsid w:val="00AE1083"/>
    <w:rsid w:val="00B27EFA"/>
    <w:rsid w:val="00B4286B"/>
    <w:rsid w:val="00BE3601"/>
    <w:rsid w:val="00C03117"/>
    <w:rsid w:val="00C166E6"/>
    <w:rsid w:val="00CD6971"/>
    <w:rsid w:val="00CF4294"/>
    <w:rsid w:val="00DB547B"/>
    <w:rsid w:val="00E04474"/>
    <w:rsid w:val="00E45745"/>
    <w:rsid w:val="00E556D1"/>
    <w:rsid w:val="00E7760C"/>
    <w:rsid w:val="00F02D12"/>
    <w:rsid w:val="00F10396"/>
    <w:rsid w:val="00F1685A"/>
    <w:rsid w:val="00F408DF"/>
    <w:rsid w:val="00F70635"/>
    <w:rsid w:val="00F927B0"/>
    <w:rsid w:val="00FE3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EE5"/>
    <w:pPr>
      <w:ind w:left="720"/>
      <w:contextualSpacing/>
    </w:pPr>
  </w:style>
  <w:style w:type="paragraph" w:styleId="Header">
    <w:name w:val="header"/>
    <w:basedOn w:val="Normal"/>
    <w:link w:val="HeaderChar"/>
    <w:rsid w:val="006A5F4D"/>
    <w:pPr>
      <w:tabs>
        <w:tab w:val="center" w:pos="4680"/>
        <w:tab w:val="right" w:pos="9360"/>
      </w:tabs>
    </w:pPr>
  </w:style>
  <w:style w:type="character" w:customStyle="1" w:styleId="HeaderChar">
    <w:name w:val="Header Char"/>
    <w:basedOn w:val="DefaultParagraphFont"/>
    <w:link w:val="Header"/>
    <w:rsid w:val="006A5F4D"/>
    <w:rPr>
      <w:sz w:val="24"/>
      <w:szCs w:val="24"/>
    </w:rPr>
  </w:style>
  <w:style w:type="paragraph" w:styleId="Footer">
    <w:name w:val="footer"/>
    <w:basedOn w:val="Normal"/>
    <w:link w:val="FooterChar"/>
    <w:uiPriority w:val="99"/>
    <w:rsid w:val="006A5F4D"/>
    <w:pPr>
      <w:tabs>
        <w:tab w:val="center" w:pos="4680"/>
        <w:tab w:val="right" w:pos="9360"/>
      </w:tabs>
    </w:pPr>
  </w:style>
  <w:style w:type="character" w:customStyle="1" w:styleId="FooterChar">
    <w:name w:val="Footer Char"/>
    <w:basedOn w:val="DefaultParagraphFont"/>
    <w:link w:val="Footer"/>
    <w:uiPriority w:val="99"/>
    <w:rsid w:val="006A5F4D"/>
    <w:rPr>
      <w:sz w:val="24"/>
      <w:szCs w:val="24"/>
    </w:rPr>
  </w:style>
  <w:style w:type="paragraph" w:styleId="FootnoteText">
    <w:name w:val="footnote text"/>
    <w:basedOn w:val="Normal"/>
    <w:link w:val="FootnoteTextChar"/>
    <w:uiPriority w:val="99"/>
    <w:unhideWhenUsed/>
    <w:rsid w:val="00FE3BAE"/>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uiPriority w:val="99"/>
    <w:rsid w:val="00FE3BAE"/>
  </w:style>
  <w:style w:type="character" w:styleId="FootnoteReference">
    <w:name w:val="footnote reference"/>
    <w:basedOn w:val="DefaultParagraphFont"/>
    <w:uiPriority w:val="99"/>
    <w:unhideWhenUsed/>
    <w:rsid w:val="00FE3BAE"/>
    <w:rPr>
      <w:vertAlign w:val="superscript"/>
    </w:rPr>
  </w:style>
  <w:style w:type="character" w:styleId="Hyperlink">
    <w:name w:val="Hyperlink"/>
    <w:basedOn w:val="DefaultParagraphFont"/>
    <w:rsid w:val="00C03117"/>
    <w:rPr>
      <w:color w:val="0000FF" w:themeColor="hyperlink"/>
      <w:u w:val="single"/>
    </w:rPr>
  </w:style>
  <w:style w:type="paragraph" w:styleId="BalloonText">
    <w:name w:val="Balloon Text"/>
    <w:basedOn w:val="Normal"/>
    <w:link w:val="BalloonTextChar"/>
    <w:rsid w:val="00C03117"/>
    <w:rPr>
      <w:rFonts w:ascii="Tahoma" w:hAnsi="Tahoma" w:cs="Tahoma"/>
      <w:sz w:val="16"/>
      <w:szCs w:val="16"/>
    </w:rPr>
  </w:style>
  <w:style w:type="character" w:customStyle="1" w:styleId="BalloonTextChar">
    <w:name w:val="Balloon Text Char"/>
    <w:basedOn w:val="DefaultParagraphFont"/>
    <w:link w:val="BalloonText"/>
    <w:rsid w:val="00C031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EE5"/>
    <w:pPr>
      <w:ind w:left="720"/>
      <w:contextualSpacing/>
    </w:pPr>
  </w:style>
  <w:style w:type="paragraph" w:styleId="Header">
    <w:name w:val="header"/>
    <w:basedOn w:val="Normal"/>
    <w:link w:val="HeaderChar"/>
    <w:rsid w:val="006A5F4D"/>
    <w:pPr>
      <w:tabs>
        <w:tab w:val="center" w:pos="4680"/>
        <w:tab w:val="right" w:pos="9360"/>
      </w:tabs>
    </w:pPr>
  </w:style>
  <w:style w:type="character" w:customStyle="1" w:styleId="HeaderChar">
    <w:name w:val="Header Char"/>
    <w:basedOn w:val="DefaultParagraphFont"/>
    <w:link w:val="Header"/>
    <w:rsid w:val="006A5F4D"/>
    <w:rPr>
      <w:sz w:val="24"/>
      <w:szCs w:val="24"/>
    </w:rPr>
  </w:style>
  <w:style w:type="paragraph" w:styleId="Footer">
    <w:name w:val="footer"/>
    <w:basedOn w:val="Normal"/>
    <w:link w:val="FooterChar"/>
    <w:uiPriority w:val="99"/>
    <w:rsid w:val="006A5F4D"/>
    <w:pPr>
      <w:tabs>
        <w:tab w:val="center" w:pos="4680"/>
        <w:tab w:val="right" w:pos="9360"/>
      </w:tabs>
    </w:pPr>
  </w:style>
  <w:style w:type="character" w:customStyle="1" w:styleId="FooterChar">
    <w:name w:val="Footer Char"/>
    <w:basedOn w:val="DefaultParagraphFont"/>
    <w:link w:val="Footer"/>
    <w:uiPriority w:val="99"/>
    <w:rsid w:val="006A5F4D"/>
    <w:rPr>
      <w:sz w:val="24"/>
      <w:szCs w:val="24"/>
    </w:rPr>
  </w:style>
  <w:style w:type="paragraph" w:styleId="FootnoteText">
    <w:name w:val="footnote text"/>
    <w:basedOn w:val="Normal"/>
    <w:link w:val="FootnoteTextChar"/>
    <w:uiPriority w:val="99"/>
    <w:unhideWhenUsed/>
    <w:rsid w:val="00FE3BAE"/>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uiPriority w:val="99"/>
    <w:rsid w:val="00FE3BAE"/>
  </w:style>
  <w:style w:type="character" w:styleId="FootnoteReference">
    <w:name w:val="footnote reference"/>
    <w:basedOn w:val="DefaultParagraphFont"/>
    <w:uiPriority w:val="99"/>
    <w:unhideWhenUsed/>
    <w:rsid w:val="00FE3BAE"/>
    <w:rPr>
      <w:vertAlign w:val="superscript"/>
    </w:rPr>
  </w:style>
  <w:style w:type="character" w:styleId="Hyperlink">
    <w:name w:val="Hyperlink"/>
    <w:basedOn w:val="DefaultParagraphFont"/>
    <w:rsid w:val="00C03117"/>
    <w:rPr>
      <w:color w:val="0000FF" w:themeColor="hyperlink"/>
      <w:u w:val="single"/>
    </w:rPr>
  </w:style>
  <w:style w:type="paragraph" w:styleId="BalloonText">
    <w:name w:val="Balloon Text"/>
    <w:basedOn w:val="Normal"/>
    <w:link w:val="BalloonTextChar"/>
    <w:rsid w:val="00C03117"/>
    <w:rPr>
      <w:rFonts w:ascii="Tahoma" w:hAnsi="Tahoma" w:cs="Tahoma"/>
      <w:sz w:val="16"/>
      <w:szCs w:val="16"/>
    </w:rPr>
  </w:style>
  <w:style w:type="character" w:customStyle="1" w:styleId="BalloonTextChar">
    <w:name w:val="Balloon Text Char"/>
    <w:basedOn w:val="DefaultParagraphFont"/>
    <w:link w:val="BalloonText"/>
    <w:rsid w:val="00C031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077809">
      <w:bodyDiv w:val="1"/>
      <w:marLeft w:val="0"/>
      <w:marRight w:val="0"/>
      <w:marTop w:val="0"/>
      <w:marBottom w:val="0"/>
      <w:divBdr>
        <w:top w:val="none" w:sz="0" w:space="0" w:color="auto"/>
        <w:left w:val="none" w:sz="0" w:space="0" w:color="auto"/>
        <w:bottom w:val="none" w:sz="0" w:space="0" w:color="auto"/>
        <w:right w:val="none" w:sz="0" w:space="0" w:color="auto"/>
      </w:divBdr>
      <w:divsChild>
        <w:div w:id="399914173">
          <w:marLeft w:val="0"/>
          <w:marRight w:val="0"/>
          <w:marTop w:val="0"/>
          <w:marBottom w:val="0"/>
          <w:divBdr>
            <w:top w:val="none" w:sz="0" w:space="0" w:color="auto"/>
            <w:left w:val="none" w:sz="0" w:space="0" w:color="auto"/>
            <w:bottom w:val="none" w:sz="0" w:space="0" w:color="auto"/>
            <w:right w:val="none" w:sz="0" w:space="0" w:color="auto"/>
          </w:divBdr>
          <w:divsChild>
            <w:div w:id="571933370">
              <w:marLeft w:val="0"/>
              <w:marRight w:val="0"/>
              <w:marTop w:val="0"/>
              <w:marBottom w:val="0"/>
              <w:divBdr>
                <w:top w:val="none" w:sz="0" w:space="0" w:color="auto"/>
                <w:left w:val="none" w:sz="0" w:space="0" w:color="auto"/>
                <w:bottom w:val="none" w:sz="0" w:space="0" w:color="auto"/>
                <w:right w:val="none" w:sz="0" w:space="0" w:color="auto"/>
              </w:divBdr>
              <w:divsChild>
                <w:div w:id="1819565894">
                  <w:marLeft w:val="0"/>
                  <w:marRight w:val="0"/>
                  <w:marTop w:val="0"/>
                  <w:marBottom w:val="0"/>
                  <w:divBdr>
                    <w:top w:val="none" w:sz="0" w:space="0" w:color="auto"/>
                    <w:left w:val="none" w:sz="0" w:space="0" w:color="auto"/>
                    <w:bottom w:val="none" w:sz="0" w:space="0" w:color="auto"/>
                    <w:right w:val="none" w:sz="0" w:space="0" w:color="auto"/>
                  </w:divBdr>
                  <w:divsChild>
                    <w:div w:id="1453089381">
                      <w:marLeft w:val="0"/>
                      <w:marRight w:val="0"/>
                      <w:marTop w:val="0"/>
                      <w:marBottom w:val="0"/>
                      <w:divBdr>
                        <w:top w:val="none" w:sz="0" w:space="0" w:color="auto"/>
                        <w:left w:val="none" w:sz="0" w:space="0" w:color="auto"/>
                        <w:bottom w:val="none" w:sz="0" w:space="0" w:color="auto"/>
                        <w:right w:val="none" w:sz="0" w:space="0" w:color="auto"/>
                      </w:divBdr>
                      <w:divsChild>
                        <w:div w:id="320623884">
                          <w:marLeft w:val="0"/>
                          <w:marRight w:val="0"/>
                          <w:marTop w:val="0"/>
                          <w:marBottom w:val="0"/>
                          <w:divBdr>
                            <w:top w:val="none" w:sz="0" w:space="0" w:color="auto"/>
                            <w:left w:val="none" w:sz="0" w:space="0" w:color="auto"/>
                            <w:bottom w:val="none" w:sz="0" w:space="0" w:color="auto"/>
                            <w:right w:val="none" w:sz="0" w:space="0" w:color="auto"/>
                          </w:divBdr>
                          <w:divsChild>
                            <w:div w:id="1741630394">
                              <w:marLeft w:val="0"/>
                              <w:marRight w:val="0"/>
                              <w:marTop w:val="0"/>
                              <w:marBottom w:val="0"/>
                              <w:divBdr>
                                <w:top w:val="none" w:sz="0" w:space="0" w:color="auto"/>
                                <w:left w:val="none" w:sz="0" w:space="0" w:color="auto"/>
                                <w:bottom w:val="none" w:sz="0" w:space="0" w:color="auto"/>
                                <w:right w:val="none" w:sz="0" w:space="0" w:color="auto"/>
                              </w:divBdr>
                              <w:divsChild>
                                <w:div w:id="1797403657">
                                  <w:marLeft w:val="0"/>
                                  <w:marRight w:val="0"/>
                                  <w:marTop w:val="0"/>
                                  <w:marBottom w:val="0"/>
                                  <w:divBdr>
                                    <w:top w:val="none" w:sz="0" w:space="0" w:color="auto"/>
                                    <w:left w:val="none" w:sz="0" w:space="0" w:color="auto"/>
                                    <w:bottom w:val="none" w:sz="0" w:space="0" w:color="auto"/>
                                    <w:right w:val="none" w:sz="0" w:space="0" w:color="auto"/>
                                  </w:divBdr>
                                  <w:divsChild>
                                    <w:div w:id="862088095">
                                      <w:marLeft w:val="0"/>
                                      <w:marRight w:val="0"/>
                                      <w:marTop w:val="0"/>
                                      <w:marBottom w:val="0"/>
                                      <w:divBdr>
                                        <w:top w:val="none" w:sz="0" w:space="0" w:color="auto"/>
                                        <w:left w:val="none" w:sz="0" w:space="0" w:color="auto"/>
                                        <w:bottom w:val="none" w:sz="0" w:space="0" w:color="auto"/>
                                        <w:right w:val="none" w:sz="0" w:space="0" w:color="auto"/>
                                      </w:divBdr>
                                      <w:divsChild>
                                        <w:div w:id="1848670932">
                                          <w:marLeft w:val="0"/>
                                          <w:marRight w:val="0"/>
                                          <w:marTop w:val="0"/>
                                          <w:marBottom w:val="0"/>
                                          <w:divBdr>
                                            <w:top w:val="none" w:sz="0" w:space="0" w:color="auto"/>
                                            <w:left w:val="none" w:sz="0" w:space="0" w:color="auto"/>
                                            <w:bottom w:val="none" w:sz="0" w:space="0" w:color="auto"/>
                                            <w:right w:val="none" w:sz="0" w:space="0" w:color="auto"/>
                                          </w:divBdr>
                                        </w:div>
                                        <w:div w:id="938028676">
                                          <w:marLeft w:val="0"/>
                                          <w:marRight w:val="0"/>
                                          <w:marTop w:val="0"/>
                                          <w:marBottom w:val="0"/>
                                          <w:divBdr>
                                            <w:top w:val="none" w:sz="0" w:space="0" w:color="auto"/>
                                            <w:left w:val="none" w:sz="0" w:space="0" w:color="auto"/>
                                            <w:bottom w:val="none" w:sz="0" w:space="0" w:color="auto"/>
                                            <w:right w:val="none" w:sz="0" w:space="0" w:color="auto"/>
                                          </w:divBdr>
                                        </w:div>
                                        <w:div w:id="7374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iggsandadler@comcast.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2540</Words>
  <Characters>14479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cp:lastPrinted>2014-07-03T13:23:00Z</cp:lastPrinted>
  <dcterms:created xsi:type="dcterms:W3CDTF">2014-07-03T13:28:00Z</dcterms:created>
  <dcterms:modified xsi:type="dcterms:W3CDTF">2014-07-03T13:28:00Z</dcterms:modified>
</cp:coreProperties>
</file>